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F11">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r>
        <w:rPr>
          <w:rFonts w:hint="eastAsia" w:ascii="Times New Roman" w:eastAsia="黑体" w:cs="Times New Roman"/>
          <w:sz w:val="31"/>
          <w:szCs w:val="31"/>
          <w:highlight w:val="none"/>
          <w:u w:val="single"/>
          <w:lang w:val="en-US" w:eastAsia="zh-CN"/>
        </w:rPr>
        <w:t>辽宁</w:t>
      </w:r>
      <w:r>
        <w:rPr>
          <w:rFonts w:hint="default" w:ascii="Times New Roman" w:hAnsi="Times New Roman" w:eastAsia="黑体" w:cs="Times New Roman"/>
          <w:sz w:val="31"/>
          <w:szCs w:val="31"/>
          <w:highlight w:val="none"/>
        </w:rPr>
        <w:t>省（自治区、直辖市）</w:t>
      </w:r>
    </w:p>
    <w:p w14:paraId="73AF6CF7">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7C70FA7E">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6447B755">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大石桥市2026年农村公路危桥改造工程</w:t>
      </w:r>
      <w:r>
        <w:rPr>
          <w:rFonts w:hint="default" w:ascii="Times New Roman" w:hAnsi="Times New Roman" w:eastAsia="黑体" w:cs="Times New Roman"/>
          <w:b w:val="0"/>
          <w:bCs w:val="0"/>
          <w:sz w:val="31"/>
          <w:szCs w:val="31"/>
          <w:highlight w:val="none"/>
        </w:rPr>
        <w:t>（项目名称）</w:t>
      </w:r>
    </w:p>
    <w:p w14:paraId="27EA0638">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大石桥市2026年农村公路危桥改造工程-新生2号桥</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p>
    <w:p w14:paraId="56CA64DA">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rPr>
        <w:t>施工招标</w:t>
      </w:r>
    </w:p>
    <w:p w14:paraId="4643A2B4">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790CA2E5">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2B6DF1B8">
      <w:pPr>
        <w:pageBreakBefore w:val="0"/>
        <w:kinsoku/>
        <w:wordWrap w:val="0"/>
        <w:bidi w:val="0"/>
        <w:spacing w:line="440" w:lineRule="exact"/>
        <w:rPr>
          <w:rFonts w:hint="default" w:ascii="Times New Roman" w:hAnsi="Times New Roman" w:eastAsia="黑体" w:cs="Times New Roman"/>
          <w:sz w:val="28"/>
          <w:szCs w:val="28"/>
          <w:highlight w:val="none"/>
        </w:rPr>
      </w:pPr>
    </w:p>
    <w:p w14:paraId="1E0BE9DC">
      <w:pPr>
        <w:pageBreakBefore w:val="0"/>
        <w:kinsoku/>
        <w:wordWrap w:val="0"/>
        <w:bidi w:val="0"/>
        <w:spacing w:line="440" w:lineRule="exact"/>
        <w:jc w:val="center"/>
        <w:rPr>
          <w:rFonts w:hint="default" w:ascii="Times New Roman" w:hAnsi="Times New Roman" w:cs="Times New Roman"/>
          <w:sz w:val="20"/>
          <w:szCs w:val="20"/>
          <w:highlight w:val="none"/>
        </w:rPr>
      </w:pPr>
      <w:r>
        <w:rPr>
          <w:rFonts w:hint="default" w:ascii="Times New Roman" w:hAnsi="Times New Roman" w:eastAsia="黑体" w:cs="Times New Roman"/>
          <w:sz w:val="28"/>
          <w:szCs w:val="28"/>
          <w:highlight w:val="none"/>
        </w:rPr>
        <w:t>（招标编号：</w:t>
      </w:r>
      <w:r>
        <w:rPr>
          <w:rFonts w:hint="eastAsia" w:eastAsia="黑体" w:cs="Times New Roman"/>
          <w:sz w:val="28"/>
          <w:szCs w:val="28"/>
          <w:highlight w:val="none"/>
          <w:lang w:val="en-US" w:eastAsia="zh-CN"/>
        </w:rPr>
        <w:t xml:space="preserve">  </w:t>
      </w:r>
      <w:r>
        <w:rPr>
          <w:rFonts w:hint="default" w:ascii="Times New Roman" w:hAnsi="Times New Roman" w:eastAsia="黑体" w:cs="Times New Roman"/>
          <w:sz w:val="28"/>
          <w:szCs w:val="28"/>
          <w:highlight w:val="none"/>
        </w:rPr>
        <w:t>）</w:t>
      </w:r>
    </w:p>
    <w:p w14:paraId="405F27BD">
      <w:pPr>
        <w:pageBreakBefore w:val="0"/>
        <w:kinsoku/>
        <w:wordWrap w:val="0"/>
        <w:bidi w:val="0"/>
        <w:spacing w:line="4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 xml:space="preserve"> </w:t>
      </w:r>
    </w:p>
    <w:p w14:paraId="447EA887">
      <w:pPr>
        <w:pageBreakBefore w:val="0"/>
        <w:kinsoku/>
        <w:wordWrap w:val="0"/>
        <w:bidi w:val="0"/>
        <w:spacing w:line="440" w:lineRule="exact"/>
        <w:rPr>
          <w:rFonts w:hint="default" w:ascii="Times New Roman" w:hAnsi="Times New Roman" w:cs="Times New Roman"/>
          <w:sz w:val="20"/>
          <w:szCs w:val="20"/>
          <w:highlight w:val="none"/>
        </w:rPr>
      </w:pPr>
    </w:p>
    <w:p w14:paraId="109C3861">
      <w:pPr>
        <w:pStyle w:val="16"/>
        <w:rPr>
          <w:rFonts w:hint="default" w:ascii="Times New Roman" w:hAnsi="Times New Roman" w:cs="Times New Roman"/>
          <w:sz w:val="20"/>
          <w:szCs w:val="20"/>
          <w:highlight w:val="none"/>
        </w:rPr>
      </w:pPr>
    </w:p>
    <w:p w14:paraId="32B160C5">
      <w:pPr>
        <w:pageBreakBefore w:val="0"/>
        <w:kinsoku/>
        <w:wordWrap w:val="0"/>
        <w:bidi w:val="0"/>
        <w:spacing w:line="440" w:lineRule="exact"/>
        <w:rPr>
          <w:rFonts w:hint="default" w:ascii="Times New Roman" w:hAnsi="Times New Roman" w:cs="Times New Roman"/>
          <w:sz w:val="20"/>
          <w:szCs w:val="20"/>
          <w:highlight w:val="none"/>
        </w:rPr>
      </w:pPr>
    </w:p>
    <w:p w14:paraId="40756CF6">
      <w:pPr>
        <w:pageBreakBefore w:val="0"/>
        <w:kinsoku/>
        <w:wordWrap w:val="0"/>
        <w:bidi w:val="0"/>
        <w:spacing w:line="860" w:lineRule="exact"/>
        <w:jc w:val="center"/>
        <w:rPr>
          <w:rFonts w:hint="default" w:ascii="Times New Roman" w:hAnsi="Times New Roman" w:eastAsia="黑体" w:cs="Times New Roman"/>
          <w:sz w:val="50"/>
          <w:szCs w:val="50"/>
          <w:highlight w:val="none"/>
        </w:rPr>
      </w:pPr>
      <w:r>
        <w:rPr>
          <w:rFonts w:hint="default" w:ascii="Times New Roman" w:hAnsi="Times New Roman" w:eastAsia="黑体" w:cs="Times New Roman"/>
          <w:sz w:val="50"/>
          <w:szCs w:val="50"/>
          <w:highlight w:val="none"/>
        </w:rPr>
        <w:t>招 标 文 件</w:t>
      </w:r>
    </w:p>
    <w:p w14:paraId="2BCC4DB0">
      <w:pPr>
        <w:pageBreakBefore w:val="0"/>
        <w:kinsoku/>
        <w:wordWrap w:val="0"/>
        <w:bidi w:val="0"/>
        <w:spacing w:line="440" w:lineRule="exact"/>
        <w:rPr>
          <w:rFonts w:hint="default" w:ascii="Times New Roman" w:hAnsi="Times New Roman" w:cs="Times New Roman"/>
          <w:sz w:val="20"/>
          <w:szCs w:val="20"/>
          <w:highlight w:val="none"/>
        </w:rPr>
      </w:pPr>
    </w:p>
    <w:p w14:paraId="179F2B0B">
      <w:pPr>
        <w:pageBreakBefore w:val="0"/>
        <w:kinsoku/>
        <w:wordWrap w:val="0"/>
        <w:bidi w:val="0"/>
        <w:spacing w:line="440" w:lineRule="exact"/>
        <w:rPr>
          <w:rFonts w:hint="default" w:ascii="Times New Roman" w:hAnsi="Times New Roman" w:cs="Times New Roman"/>
          <w:sz w:val="20"/>
          <w:szCs w:val="20"/>
          <w:highlight w:val="none"/>
        </w:rPr>
      </w:pPr>
    </w:p>
    <w:p w14:paraId="4BF00762">
      <w:pPr>
        <w:pageBreakBefore w:val="0"/>
        <w:kinsoku/>
        <w:wordWrap w:val="0"/>
        <w:bidi w:val="0"/>
        <w:spacing w:line="440" w:lineRule="exact"/>
        <w:rPr>
          <w:rFonts w:hint="default" w:ascii="Times New Roman" w:hAnsi="Times New Roman" w:cs="Times New Roman"/>
          <w:sz w:val="20"/>
          <w:szCs w:val="20"/>
          <w:highlight w:val="none"/>
        </w:rPr>
      </w:pPr>
    </w:p>
    <w:p w14:paraId="55489AD9">
      <w:pPr>
        <w:pageBreakBefore w:val="0"/>
        <w:kinsoku/>
        <w:wordWrap w:val="0"/>
        <w:bidi w:val="0"/>
        <w:spacing w:line="440" w:lineRule="exact"/>
        <w:rPr>
          <w:rFonts w:hint="default" w:ascii="Times New Roman" w:hAnsi="Times New Roman" w:cs="Times New Roman"/>
          <w:sz w:val="20"/>
          <w:szCs w:val="20"/>
          <w:highlight w:val="none"/>
        </w:rPr>
      </w:pPr>
    </w:p>
    <w:p w14:paraId="0E5FC534">
      <w:pPr>
        <w:pageBreakBefore w:val="0"/>
        <w:kinsoku/>
        <w:wordWrap w:val="0"/>
        <w:bidi w:val="0"/>
        <w:spacing w:line="440" w:lineRule="exact"/>
        <w:rPr>
          <w:rFonts w:hint="default" w:ascii="Times New Roman" w:hAnsi="Times New Roman" w:cs="Times New Roman"/>
          <w:sz w:val="20"/>
          <w:szCs w:val="20"/>
          <w:highlight w:val="none"/>
        </w:rPr>
      </w:pPr>
    </w:p>
    <w:p w14:paraId="1BD8E36B">
      <w:pPr>
        <w:pageBreakBefore w:val="0"/>
        <w:kinsoku/>
        <w:wordWrap w:val="0"/>
        <w:bidi w:val="0"/>
        <w:spacing w:line="440" w:lineRule="exact"/>
        <w:rPr>
          <w:rFonts w:hint="default" w:ascii="Times New Roman" w:hAnsi="Times New Roman" w:cs="Times New Roman"/>
          <w:sz w:val="20"/>
          <w:szCs w:val="20"/>
          <w:highlight w:val="none"/>
        </w:rPr>
      </w:pPr>
    </w:p>
    <w:p w14:paraId="1B708AE6">
      <w:pPr>
        <w:pageBreakBefore w:val="0"/>
        <w:kinsoku/>
        <w:wordWrap w:val="0"/>
        <w:bidi w:val="0"/>
        <w:spacing w:line="440" w:lineRule="exact"/>
        <w:rPr>
          <w:rFonts w:hint="default" w:ascii="Times New Roman" w:hAnsi="Times New Roman" w:cs="Times New Roman"/>
          <w:sz w:val="20"/>
          <w:szCs w:val="20"/>
          <w:highlight w:val="none"/>
        </w:rPr>
      </w:pPr>
    </w:p>
    <w:p w14:paraId="3418DF51">
      <w:pPr>
        <w:pageBreakBefore w:val="0"/>
        <w:kinsoku/>
        <w:wordWrap w:val="0"/>
        <w:bidi w:val="0"/>
        <w:spacing w:line="7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招标人：</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eastAsia="zh-CN"/>
        </w:rPr>
        <w:t>大石桥市交通运输事务中心</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BDB45">
      <w:pPr>
        <w:pageBreakBefore w:val="0"/>
        <w:kinsoku/>
        <w:wordWrap w:val="0"/>
        <w:bidi w:val="0"/>
        <w:spacing w:line="700" w:lineRule="exact"/>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招标代理机构：</w:t>
      </w:r>
      <w:r>
        <w:rPr>
          <w:rFonts w:hint="eastAsia" w:eastAsia="黑体" w:cs="Times New Roman"/>
          <w:sz w:val="28"/>
          <w:szCs w:val="28"/>
          <w:highlight w:val="none"/>
          <w:u w:val="single"/>
          <w:lang w:eastAsia="zh-CN"/>
        </w:rPr>
        <w:t>辽宁鼎域咨询有限公司</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722DD">
      <w:pPr>
        <w:pageBreakBefore w:val="0"/>
        <w:kinsoku/>
        <w:wordWrap w:val="0"/>
        <w:bidi w:val="0"/>
        <w:spacing w:line="700" w:lineRule="exact"/>
        <w:ind w:firstLine="2816" w:firstLineChars="1006"/>
        <w:rPr>
          <w:rFonts w:hint="default" w:ascii="Times New Roman" w:hAnsi="Times New Roman" w:cs="Times New Roman"/>
          <w:sz w:val="20"/>
          <w:szCs w:val="20"/>
          <w:highlight w:val="none"/>
          <w:u w:val="single"/>
        </w:rPr>
      </w:pP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2026</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57881DAA">
      <w:pPr>
        <w:pageBreakBefore w:val="0"/>
        <w:kinsoku/>
        <w:wordWrap w:val="0"/>
        <w:bidi w:val="0"/>
        <w:spacing w:line="352" w:lineRule="atLeast"/>
        <w:jc w:val="center"/>
        <w:rPr>
          <w:rFonts w:hint="default" w:ascii="Times New Roman" w:hAnsi="Times New Roman" w:eastAsia="黑体" w:cs="Times New Roman"/>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B212CF2">
      <w:pPr>
        <w:pageBreakBefore w:val="0"/>
        <w:kinsoku/>
        <w:wordWrap w:val="0"/>
        <w:bidi w:val="0"/>
        <w:spacing w:line="352" w:lineRule="atLeast"/>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14:paraId="3505C6C8">
      <w:pPr>
        <w:pStyle w:val="28"/>
        <w:keepNext w:val="0"/>
        <w:keepLines w:val="0"/>
        <w:pageBreakBefore w:val="0"/>
        <w:widowControl w:val="0"/>
        <w:tabs>
          <w:tab w:val="right" w:leader="dot" w:pos="8675"/>
          <w:tab w:val="clear" w:pos="425"/>
          <w:tab w:val="clear" w:pos="8805"/>
        </w:tabs>
        <w:kinsoku/>
        <w:overflowPunct/>
        <w:topLinePunct w:val="0"/>
        <w:autoSpaceDE/>
        <w:autoSpaceDN/>
        <w:bidi w:val="0"/>
        <w:adjustRightInd/>
        <w:snapToGrid/>
        <w:spacing w:line="360" w:lineRule="exact"/>
        <w:ind w:left="0" w:leftChars="0"/>
        <w:textAlignment w:val="auto"/>
        <w:rPr>
          <w:rFonts w:hint="default" w:ascii="Times New Roman" w:hAnsi="Times New Roman" w:eastAsia="黑体" w:cs="Times New Roman"/>
          <w:b w:val="0"/>
          <w:bCs w:val="0"/>
          <w:i w:val="0"/>
          <w:iCs w:val="0"/>
          <w:szCs w:val="21"/>
          <w:highlight w:val="none"/>
        </w:rPr>
      </w:pPr>
      <w:r>
        <w:rPr>
          <w:rFonts w:hint="default" w:ascii="Times New Roman" w:hAnsi="Times New Roman" w:eastAsia="黑体" w:cs="Times New Roman"/>
          <w:b w:val="0"/>
          <w:bCs w:val="0"/>
          <w:i w:val="0"/>
          <w:iCs w:val="0"/>
          <w:szCs w:val="21"/>
          <w:highlight w:val="none"/>
        </w:rPr>
        <w:fldChar w:fldCharType="begin"/>
      </w:r>
      <w:r>
        <w:rPr>
          <w:rFonts w:hint="default" w:ascii="Times New Roman" w:hAnsi="Times New Roman" w:eastAsia="黑体" w:cs="Times New Roman"/>
          <w:b w:val="0"/>
          <w:bCs w:val="0"/>
          <w:i w:val="0"/>
          <w:iCs w:val="0"/>
          <w:szCs w:val="21"/>
          <w:highlight w:val="none"/>
        </w:rPr>
        <w:instrText xml:space="preserve"> HYPERLINK \l _Toc14475 </w:instrText>
      </w:r>
      <w:r>
        <w:rPr>
          <w:rFonts w:hint="default" w:ascii="Times New Roman" w:hAnsi="Times New Roman" w:eastAsia="黑体" w:cs="Times New Roman"/>
          <w:b w:val="0"/>
          <w:bCs w:val="0"/>
          <w:i w:val="0"/>
          <w:iCs w:val="0"/>
          <w:szCs w:val="21"/>
          <w:highlight w:val="none"/>
        </w:rPr>
        <w:fldChar w:fldCharType="separate"/>
      </w:r>
      <w:r>
        <w:rPr>
          <w:rFonts w:hint="default" w:ascii="Times New Roman" w:hAnsi="Times New Roman" w:eastAsia="黑体" w:cs="Times New Roman"/>
          <w:b w:val="0"/>
          <w:bCs w:val="0"/>
          <w:i w:val="0"/>
          <w:iCs w:val="0"/>
          <w:szCs w:val="21"/>
          <w:highlight w:val="none"/>
        </w:rPr>
        <w:t>第一卷</w:t>
      </w:r>
      <w:r>
        <w:rPr>
          <w:rFonts w:hint="default" w:ascii="Times New Roman" w:hAnsi="Times New Roman" w:eastAsia="黑体" w:cs="Times New Roman"/>
          <w:b w:val="0"/>
          <w:bCs w:val="0"/>
          <w:i w:val="0"/>
          <w:iCs w:val="0"/>
          <w:szCs w:val="21"/>
          <w:highlight w:val="none"/>
        </w:rPr>
        <w:tab/>
      </w:r>
      <w:r>
        <w:rPr>
          <w:rFonts w:hint="eastAsia" w:eastAsia="黑体" w:cs="Times New Roman"/>
          <w:b w:val="0"/>
          <w:bCs w:val="0"/>
          <w:i w:val="0"/>
          <w:iCs w:val="0"/>
          <w:szCs w:val="21"/>
          <w:highlight w:val="none"/>
          <w:lang w:val="en-US" w:eastAsia="zh-CN"/>
        </w:rPr>
        <w:t>1</w:t>
      </w:r>
      <w:r>
        <w:rPr>
          <w:rFonts w:hint="default" w:ascii="Times New Roman" w:hAnsi="Times New Roman" w:eastAsia="黑体" w:cs="Times New Roman"/>
          <w:b w:val="0"/>
          <w:bCs w:val="0"/>
          <w:i w:val="0"/>
          <w:iCs w:val="0"/>
          <w:szCs w:val="21"/>
          <w:highlight w:val="none"/>
        </w:rPr>
        <w:fldChar w:fldCharType="end"/>
      </w:r>
    </w:p>
    <w:p w14:paraId="398562BE">
      <w:pPr>
        <w:pStyle w:val="28"/>
        <w:tabs>
          <w:tab w:val="right" w:leader="dot" w:pos="8675"/>
          <w:tab w:val="clear" w:pos="425"/>
          <w:tab w:val="clear" w:pos="8805"/>
        </w:tabs>
        <w:rPr>
          <w:highlight w:val="none"/>
        </w:rPr>
      </w:pPr>
      <w:r>
        <w:rPr>
          <w:rFonts w:hint="default" w:ascii="Times New Roman" w:hAnsi="Times New Roman" w:eastAsia="黑体" w:cs="Times New Roman"/>
          <w:b w:val="0"/>
          <w:bCs w:val="0"/>
          <w:i w:val="0"/>
          <w:iCs w:val="0"/>
          <w:color w:val="auto"/>
          <w:sz w:val="21"/>
          <w:szCs w:val="21"/>
          <w:highlight w:val="none"/>
        </w:rPr>
        <w:fldChar w:fldCharType="begin"/>
      </w:r>
      <w:r>
        <w:rPr>
          <w:rFonts w:hint="default" w:ascii="Times New Roman" w:hAnsi="Times New Roman" w:eastAsia="黑体" w:cs="Times New Roman"/>
          <w:b w:val="0"/>
          <w:bCs w:val="0"/>
          <w:i w:val="0"/>
          <w:iCs w:val="0"/>
          <w:color w:val="auto"/>
          <w:sz w:val="21"/>
          <w:szCs w:val="21"/>
          <w:highlight w:val="none"/>
        </w:rPr>
        <w:instrText xml:space="preserve"> TOC \o "1-3" \h \z \u </w:instrText>
      </w:r>
      <w:r>
        <w:rPr>
          <w:rFonts w:hint="default" w:ascii="Times New Roman" w:hAnsi="Times New Roman" w:eastAsia="黑体" w:cs="Times New Roman"/>
          <w:b w:val="0"/>
          <w:bCs w:val="0"/>
          <w:i w:val="0"/>
          <w:iCs w:val="0"/>
          <w:color w:val="auto"/>
          <w:sz w:val="21"/>
          <w:szCs w:val="21"/>
          <w:highlight w:val="none"/>
        </w:rPr>
        <w:fldChar w:fldCharType="separate"/>
      </w:r>
      <w:r>
        <w:rPr>
          <w:rFonts w:hint="default" w:ascii="Times New Roman" w:hAnsi="Times New Roman" w:eastAsia="黑体" w:cs="Times New Roman"/>
          <w:bCs w:val="0"/>
          <w:i w:val="0"/>
          <w:iCs w:val="0"/>
          <w:color w:val="auto"/>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rFonts w:hint="default" w:ascii="Times New Roman" w:hAnsi="Times New Roman" w:eastAsia="黑体" w:cs="Times New Roman"/>
          <w:bCs w:val="0"/>
          <w:i w:val="0"/>
          <w:iCs w:val="0"/>
          <w:color w:val="auto"/>
          <w:szCs w:val="21"/>
          <w:highlight w:val="none"/>
        </w:rPr>
        <w:fldChar w:fldCharType="end"/>
      </w:r>
    </w:p>
    <w:p w14:paraId="77F7915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91BF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08F0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7C203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60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6AE16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评标办法前附表</w:t>
      </w:r>
      <w:r>
        <w:rPr>
          <w:rFonts w:hint="default" w:ascii="Times New Roman" w:hAnsi="Times New Roman" w:eastAsia="黑体" w:cs="Times New Roman"/>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60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FB717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78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9C73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79</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C1342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80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CDF1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5910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_Toc12441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170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5378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184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840EC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218</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F13B6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220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C1621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221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5D043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223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34533D">
      <w:pPr>
        <w:keepNext w:val="0"/>
        <w:keepLines w:val="0"/>
        <w:pageBreakBefore w:val="0"/>
        <w:widowControl w:val="0"/>
        <w:kinsoku/>
        <w:wordWrap w:val="0"/>
        <w:overflowPunct/>
        <w:topLinePunct w:val="0"/>
        <w:autoSpaceDE/>
        <w:autoSpaceDN/>
        <w:bidi w:val="0"/>
        <w:adjustRightInd/>
        <w:snapToGrid/>
        <w:spacing w:line="360" w:lineRule="exact"/>
        <w:ind w:left="0" w:leftChars="0"/>
        <w:textAlignment w:val="auto"/>
        <w:rPr>
          <w:rFonts w:hint="default" w:ascii="Times New Roman" w:hAnsi="Times New Roman" w:eastAsia="楷体_GB2312" w:cs="Times New Roman"/>
          <w:sz w:val="24"/>
          <w:highlight w:val="none"/>
        </w:rPr>
      </w:pPr>
      <w:r>
        <w:rPr>
          <w:rFonts w:hint="default" w:ascii="Times New Roman" w:hAnsi="Times New Roman" w:eastAsia="黑体" w:cs="Times New Roman"/>
          <w:bCs w:val="0"/>
          <w:i w:val="0"/>
          <w:iCs w:val="0"/>
          <w:szCs w:val="21"/>
          <w:highlight w:val="none"/>
        </w:rPr>
        <w:fldChar w:fldCharType="end"/>
      </w:r>
    </w:p>
    <w:p w14:paraId="1E7118ED">
      <w:pPr>
        <w:pageBreakBefore w:val="0"/>
        <w:kinsoku/>
        <w:wordWrap w:val="0"/>
        <w:bidi w:val="0"/>
        <w:spacing w:line="352" w:lineRule="atLeast"/>
        <w:rPr>
          <w:rFonts w:hint="default" w:ascii="Times New Roman" w:hAnsi="Times New Roman" w:eastAsia="楷体_GB2312" w:cs="Times New Roman"/>
          <w:szCs w:val="21"/>
          <w:highlight w:val="none"/>
        </w:rPr>
      </w:pPr>
    </w:p>
    <w:p w14:paraId="32E086A0">
      <w:pPr>
        <w:pageBreakBefore w:val="0"/>
        <w:kinsoku/>
        <w:wordWrap w:val="0"/>
        <w:bidi w:val="0"/>
        <w:spacing w:line="352" w:lineRule="atLeast"/>
        <w:rPr>
          <w:rFonts w:hint="default" w:ascii="Times New Roman" w:hAnsi="Times New Roman" w:eastAsia="楷体_GB2312" w:cs="Times New Roman"/>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61EB32CC">
      <w:pPr>
        <w:pageBreakBefore w:val="0"/>
        <w:kinsoku/>
        <w:wordWrap w:val="0"/>
        <w:bidi w:val="0"/>
        <w:spacing w:line="352" w:lineRule="atLeast"/>
        <w:rPr>
          <w:rFonts w:hint="default" w:ascii="Times New Roman" w:hAnsi="Times New Roman" w:eastAsia="楷体_GB2312" w:cs="Times New Roman"/>
          <w:szCs w:val="21"/>
          <w:highlight w:val="none"/>
        </w:rPr>
      </w:pPr>
    </w:p>
    <w:p w14:paraId="65BA7321">
      <w:pPr>
        <w:pageBreakBefore w:val="0"/>
        <w:kinsoku/>
        <w:wordWrap w:val="0"/>
        <w:bidi w:val="0"/>
        <w:spacing w:line="352" w:lineRule="atLeast"/>
        <w:rPr>
          <w:rFonts w:hint="default" w:ascii="Times New Roman" w:hAnsi="Times New Roman" w:eastAsia="楷体_GB2312" w:cs="Times New Roman"/>
          <w:szCs w:val="21"/>
          <w:highlight w:val="none"/>
        </w:rPr>
      </w:pPr>
    </w:p>
    <w:p w14:paraId="183C45AD">
      <w:pPr>
        <w:pageBreakBefore w:val="0"/>
        <w:kinsoku/>
        <w:wordWrap w:val="0"/>
        <w:bidi w:val="0"/>
        <w:spacing w:line="352" w:lineRule="atLeast"/>
        <w:rPr>
          <w:rFonts w:hint="default" w:ascii="Times New Roman" w:hAnsi="Times New Roman" w:eastAsia="黑体" w:cs="Times New Roman"/>
          <w:sz w:val="29"/>
          <w:szCs w:val="29"/>
          <w:highlight w:val="none"/>
        </w:rPr>
      </w:pPr>
    </w:p>
    <w:p w14:paraId="7E73A5C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A0404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44B62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F9CC5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38999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6A5F1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59FD13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057B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1B2F2A">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76"/>
          <w:szCs w:val="76"/>
          <w:highlight w:val="none"/>
        </w:rPr>
      </w:pPr>
      <w:bookmarkStart w:id="0" w:name="_Toc31875"/>
      <w:r>
        <w:rPr>
          <w:rFonts w:hint="default" w:ascii="Times New Roman" w:hAnsi="Times New Roman" w:eastAsia="黑体" w:cs="Times New Roman"/>
          <w:sz w:val="76"/>
          <w:szCs w:val="76"/>
          <w:highlight w:val="none"/>
        </w:rPr>
        <w:t>第  一  卷</w:t>
      </w:r>
      <w:bookmarkEnd w:id="0"/>
    </w:p>
    <w:p w14:paraId="46065AEE">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4EE71F9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778136B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575B864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1CE1C9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29BF571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6D48C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16E15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CF54099">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F52141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32ED4C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6FD62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852869B">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56"/>
          <w:szCs w:val="56"/>
          <w:highlight w:val="none"/>
        </w:rPr>
      </w:pPr>
      <w:bookmarkStart w:id="1" w:name="_Toc16041"/>
      <w:bookmarkStart w:id="2" w:name="_Toc6394"/>
      <w:bookmarkStart w:id="3" w:name="_Toc32078"/>
      <w:r>
        <w:rPr>
          <w:rFonts w:hint="default" w:ascii="Times New Roman" w:hAnsi="Times New Roman" w:eastAsia="黑体" w:cs="Times New Roman"/>
          <w:sz w:val="56"/>
          <w:szCs w:val="56"/>
          <w:highlight w:val="none"/>
        </w:rPr>
        <w:t>第一章  招标公告</w:t>
      </w:r>
      <w:bookmarkEnd w:id="1"/>
      <w:bookmarkEnd w:id="2"/>
      <w:bookmarkEnd w:id="3"/>
    </w:p>
    <w:p w14:paraId="1ABFFE07">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0F0F4B9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009A43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z w:val="42"/>
          <w:szCs w:val="42"/>
          <w:highlight w:val="none"/>
        </w:rPr>
      </w:pPr>
      <w:bookmarkStart w:id="4" w:name="_Toc234832844"/>
      <w:bookmarkStart w:id="5" w:name="_Toc23044"/>
      <w:bookmarkStart w:id="6" w:name="_Toc3148"/>
      <w:r>
        <w:rPr>
          <w:rStyle w:val="55"/>
          <w:rFonts w:hint="default" w:ascii="Times New Roman" w:hAnsi="Times New Roman" w:eastAsia="黑体" w:cs="Times New Roman"/>
          <w:sz w:val="42"/>
          <w:szCs w:val="42"/>
          <w:highlight w:val="none"/>
        </w:rPr>
        <w:t>第一章  招标公告</w:t>
      </w:r>
      <w:bookmarkEnd w:id="4"/>
      <w:r>
        <w:rPr>
          <w:rStyle w:val="48"/>
          <w:rFonts w:hint="default" w:ascii="Times New Roman" w:hAnsi="Times New Roman" w:eastAsia="黑体" w:cs="Times New Roman"/>
          <w:sz w:val="42"/>
          <w:szCs w:val="42"/>
          <w:highlight w:val="none"/>
        </w:rPr>
        <w:footnoteReference w:id="0"/>
      </w:r>
      <w:bookmarkEnd w:id="5"/>
      <w:bookmarkEnd w:id="6"/>
    </w:p>
    <w:p w14:paraId="0C171852">
      <w:pPr>
        <w:pageBreakBefore w:val="0"/>
        <w:tabs>
          <w:tab w:val="center" w:pos="4153"/>
        </w:tabs>
        <w:kinsoku/>
        <w:wordWrap w:val="0"/>
        <w:bidi w:val="0"/>
        <w:spacing w:line="440" w:lineRule="exact"/>
        <w:jc w:val="center"/>
        <w:rPr>
          <w:rFonts w:hint="default" w:ascii="Times New Roman" w:hAnsi="Times New Roman" w:eastAsia="黑体" w:cs="Times New Roman"/>
          <w:sz w:val="17"/>
          <w:szCs w:val="17"/>
          <w:highlight w:val="none"/>
        </w:rPr>
      </w:pPr>
    </w:p>
    <w:p w14:paraId="206FAAD5">
      <w:pPr>
        <w:keepNext w:val="0"/>
        <w:keepLines w:val="0"/>
        <w:pageBreakBefore w:val="0"/>
        <w:widowControl w:val="0"/>
        <w:kinsoku/>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4"/>
          <w:szCs w:val="24"/>
          <w:highlight w:val="none"/>
        </w:rPr>
      </w:pPr>
      <w:r>
        <w:rPr>
          <w:rFonts w:hint="eastAsia" w:ascii="宋体" w:hAnsi="宋体" w:eastAsia="宋体" w:cs="宋体"/>
          <w:b/>
          <w:bCs/>
          <w:sz w:val="32"/>
          <w:szCs w:val="32"/>
          <w:highlight w:val="none"/>
        </w:rPr>
        <w:t>招标公告</w:t>
      </w:r>
      <w:r>
        <w:rPr>
          <w:rFonts w:hint="eastAsia" w:ascii="宋体" w:hAnsi="宋体" w:eastAsia="宋体" w:cs="宋体"/>
          <w:sz w:val="24"/>
          <w:szCs w:val="24"/>
          <w:highlight w:val="none"/>
        </w:rPr>
        <w:t xml:space="preserve">              </w:t>
      </w:r>
    </w:p>
    <w:p w14:paraId="0AFF22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招标条件</w:t>
      </w:r>
    </w:p>
    <w:p w14:paraId="53C3B8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本招标项目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大石桥市2026年农村公路危桥改造工程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（项目名称）已由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大石桥市交通运输局</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（项目审批、核准或备案机关名称）以</w:t>
      </w:r>
      <w:r>
        <w:rPr>
          <w:rFonts w:hint="eastAsia" w:ascii="宋体" w:hAnsi="宋体" w:eastAsia="宋体" w:cs="宋体"/>
          <w:sz w:val="24"/>
          <w:szCs w:val="24"/>
          <w:highlight w:val="none"/>
          <w:u w:val="single"/>
        </w:rPr>
        <w:t xml:space="preserve">《关于大石桥市2026年农村公路危桥改造工程施工图设计的批复》  (大市交发[2026]37号) </w:t>
      </w:r>
      <w:r>
        <w:rPr>
          <w:rFonts w:hint="eastAsia" w:ascii="宋体" w:hAnsi="宋体" w:eastAsia="宋体" w:cs="宋体"/>
          <w:sz w:val="24"/>
          <w:szCs w:val="24"/>
          <w:highlight w:val="none"/>
        </w:rPr>
        <w:t xml:space="preserve">（批文名称及编号）批准建设，建设资金来自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省以上投资</w:t>
      </w:r>
      <w:r>
        <w:rPr>
          <w:rFonts w:hint="eastAsia" w:ascii="宋体" w:hAnsi="宋体" w:eastAsia="宋体" w:cs="宋体"/>
          <w:sz w:val="24"/>
          <w:szCs w:val="24"/>
          <w:highlight w:val="none"/>
          <w:u w:val="single"/>
        </w:rPr>
        <w:t xml:space="preserve">和地方政府配套资金    </w:t>
      </w:r>
      <w:r>
        <w:rPr>
          <w:rFonts w:hint="eastAsia" w:ascii="宋体" w:hAnsi="宋体" w:eastAsia="宋体" w:cs="宋体"/>
          <w:sz w:val="24"/>
          <w:szCs w:val="24"/>
          <w:highlight w:val="none"/>
        </w:rPr>
        <w:t>（资金来源），出资比例为</w:t>
      </w:r>
      <w:r>
        <w:rPr>
          <w:rFonts w:hint="eastAsia" w:ascii="宋体" w:hAnsi="宋体" w:eastAsia="宋体" w:cs="宋体"/>
          <w:sz w:val="24"/>
          <w:szCs w:val="24"/>
          <w:highlight w:val="none"/>
          <w:u w:val="single"/>
        </w:rPr>
        <w:t xml:space="preserve">   省以上投资</w:t>
      </w:r>
      <w:r>
        <w:rPr>
          <w:rFonts w:hint="eastAsia" w:ascii="宋体" w:hAnsi="宋体" w:cs="宋体"/>
          <w:sz w:val="24"/>
          <w:szCs w:val="24"/>
          <w:highlight w:val="none"/>
          <w:u w:val="single"/>
          <w:lang w:val="en-US" w:eastAsia="zh-CN"/>
        </w:rPr>
        <w:t>50</w:t>
      </w:r>
      <w:r>
        <w:rPr>
          <w:rFonts w:hint="eastAsia" w:ascii="宋体" w:hAnsi="宋体" w:eastAsia="宋体" w:cs="宋体"/>
          <w:sz w:val="24"/>
          <w:szCs w:val="24"/>
          <w:highlight w:val="none"/>
          <w:u w:val="single"/>
        </w:rPr>
        <w:t>%、地方政府配套资金</w:t>
      </w:r>
      <w:r>
        <w:rPr>
          <w:rFonts w:hint="eastAsia" w:ascii="宋体" w:hAnsi="宋体" w:cs="宋体"/>
          <w:sz w:val="24"/>
          <w:szCs w:val="24"/>
          <w:highlight w:val="none"/>
          <w:u w:val="single"/>
          <w:lang w:val="en-US" w:eastAsia="zh-CN"/>
        </w:rPr>
        <w:t>50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，招标人为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大石桥市交通运输事务中心</w:t>
      </w:r>
      <w:r>
        <w:rPr>
          <w:rFonts w:hint="eastAsia" w:ascii="宋体" w:hAnsi="宋体" w:eastAsia="宋体" w:cs="宋体"/>
          <w:sz w:val="24"/>
          <w:szCs w:val="24"/>
          <w:highlight w:val="none"/>
        </w:rPr>
        <w:t xml:space="preserve"> 。项目已具备招标条件，现对该项目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大石桥市2026年农村公路危桥改造工程-新生2号桥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（标段名称）的施工进行公开招标。 </w:t>
      </w:r>
    </w:p>
    <w:p w14:paraId="2CBF4F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14:paraId="7D430EC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大石桥市2026年农村公路危桥改造工程-新生2号桥</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中心桩号K1+950，桥梁全长16米，跨径为1孔10米，交角90度</w:t>
      </w:r>
      <w:r>
        <w:rPr>
          <w:rFonts w:hint="eastAsia" w:ascii="宋体" w:hAnsi="宋体" w:eastAsia="宋体" w:cs="宋体"/>
          <w:sz w:val="24"/>
          <w:szCs w:val="24"/>
          <w:highlight w:val="none"/>
        </w:rPr>
        <w:t>。</w:t>
      </w:r>
    </w:p>
    <w:p w14:paraId="1840D8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说明本次招标项目的标段划分1个标段。</w:t>
      </w:r>
    </w:p>
    <w:p w14:paraId="3FAA1E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2.3招标范围</w:t>
      </w:r>
    </w:p>
    <w:p w14:paraId="7E6C4C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大石桥市2026年农村公路危桥改造工程-新生2号桥， 中心桩号K1+950，桥梁全长16米，跨径为1孔10米，交角90度 (具体工程内容以工程量清单及施工图纸为准) 。</w:t>
      </w:r>
    </w:p>
    <w:p w14:paraId="2B6E1E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2.4计划工期</w:t>
      </w:r>
    </w:p>
    <w:p w14:paraId="1D4601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日开工，</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日竣工，共计</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日历天（具体时间以签订合同为准）。</w:t>
      </w:r>
    </w:p>
    <w:p w14:paraId="6DD209F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p w14:paraId="6C61F269">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本次招标要求投标人在人员、设备、资金等方面具有相应的施工能力，投标人须具备的资格条件如下：</w:t>
      </w:r>
    </w:p>
    <w:p w14:paraId="47F5F3A6">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1.1资质要求</w:t>
      </w:r>
    </w:p>
    <w:p w14:paraId="7227CD4F">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1 、投标人必须具有国内独立法人资格及有效的企业法人营业执照。</w:t>
      </w:r>
    </w:p>
    <w:p w14:paraId="4636599C">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2 、投标人</w:t>
      </w:r>
      <w:r>
        <w:rPr>
          <w:rFonts w:hint="eastAsia"/>
          <w:sz w:val="24"/>
          <w:szCs w:val="24"/>
          <w:highlight w:val="none"/>
          <w:u w:val="single"/>
          <w:lang w:eastAsia="zh-CN"/>
        </w:rPr>
        <w:t>须同时</w:t>
      </w:r>
      <w:r>
        <w:rPr>
          <w:rFonts w:hint="eastAsia"/>
          <w:sz w:val="24"/>
          <w:szCs w:val="24"/>
          <w:highlight w:val="none"/>
          <w:u w:val="single"/>
        </w:rPr>
        <w:t>具有</w:t>
      </w:r>
      <w:r>
        <w:rPr>
          <w:rFonts w:hint="eastAsia"/>
          <w:sz w:val="24"/>
          <w:szCs w:val="24"/>
          <w:highlight w:val="none"/>
          <w:u w:val="single"/>
          <w:lang w:eastAsia="zh-CN"/>
        </w:rPr>
        <w:t>【具有省级交通运输主管部门颁发且有效的“公路养护作业单位资质证书”且资质类别具有路基路面养护乙级及以上资质】及【辽宁省交通运输厅颁发的交通安全设施养护资质】</w:t>
      </w:r>
      <w:r>
        <w:rPr>
          <w:rFonts w:hint="eastAsia"/>
          <w:sz w:val="24"/>
          <w:szCs w:val="24"/>
          <w:highlight w:val="none"/>
          <w:u w:val="single"/>
        </w:rPr>
        <w:t>。</w:t>
      </w:r>
    </w:p>
    <w:p w14:paraId="4F6DD99B">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3 、投标人必须具有建设行政主管部门颁发的有效安全生产许可证。</w:t>
      </w:r>
    </w:p>
    <w:p w14:paraId="023A620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1.2财务要</w:t>
      </w:r>
      <w:r>
        <w:rPr>
          <w:rFonts w:hint="eastAsia"/>
          <w:color w:val="auto"/>
          <w:sz w:val="24"/>
          <w:szCs w:val="24"/>
          <w:highlight w:val="none"/>
          <w:u w:val="none"/>
        </w:rPr>
        <w:t>求</w:t>
      </w:r>
    </w:p>
    <w:p w14:paraId="39B51911">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5F4C590C">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none"/>
          <w:lang w:val="en-US" w:eastAsia="zh-CN"/>
        </w:rPr>
        <w:t>3.</w:t>
      </w:r>
      <w:r>
        <w:rPr>
          <w:rFonts w:hint="eastAsia"/>
          <w:color w:val="auto"/>
          <w:sz w:val="24"/>
          <w:szCs w:val="24"/>
          <w:highlight w:val="none"/>
          <w:u w:val="none"/>
        </w:rPr>
        <w:t>1.3业绩要求</w:t>
      </w:r>
      <w:r>
        <w:rPr>
          <w:rFonts w:hint="eastAsia"/>
          <w:color w:val="auto"/>
          <w:sz w:val="24"/>
          <w:szCs w:val="24"/>
          <w:highlight w:val="none"/>
          <w:u w:val="none"/>
          <w:lang w:eastAsia="zh-CN"/>
        </w:rPr>
        <w:t>：</w:t>
      </w:r>
      <w:r>
        <w:rPr>
          <w:rFonts w:hint="eastAsia"/>
          <w:color w:val="auto"/>
          <w:sz w:val="24"/>
          <w:szCs w:val="24"/>
          <w:highlight w:val="none"/>
          <w:u w:val="single"/>
        </w:rPr>
        <w:t>投标人202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年1月1日至投标文件递交截止时间（指交工验收时</w:t>
      </w:r>
      <w:r>
        <w:rPr>
          <w:rFonts w:hint="eastAsia"/>
          <w:color w:val="auto"/>
          <w:sz w:val="24"/>
          <w:szCs w:val="24"/>
          <w:highlight w:val="none"/>
          <w:u w:val="single"/>
          <w:lang w:eastAsia="zh-CN"/>
        </w:rPr>
        <w:t>间</w:t>
      </w:r>
      <w:r>
        <w:rPr>
          <w:rFonts w:hint="eastAsia"/>
          <w:color w:val="auto"/>
          <w:sz w:val="24"/>
          <w:szCs w:val="24"/>
          <w:highlight w:val="none"/>
          <w:u w:val="single"/>
        </w:rPr>
        <w:t>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年1月1日至投标文件递交截止日内），完成过至少1个类似</w:t>
      </w:r>
      <w:r>
        <w:rPr>
          <w:rFonts w:hint="eastAsia"/>
          <w:color w:val="auto"/>
          <w:sz w:val="24"/>
          <w:szCs w:val="24"/>
          <w:highlight w:val="none"/>
          <w:u w:val="single"/>
          <w:lang w:val="en-US" w:eastAsia="zh-CN"/>
        </w:rPr>
        <w:t>桥梁</w:t>
      </w:r>
      <w:r>
        <w:rPr>
          <w:rFonts w:hint="eastAsia"/>
          <w:color w:val="auto"/>
          <w:sz w:val="24"/>
          <w:szCs w:val="24"/>
          <w:highlight w:val="none"/>
          <w:u w:val="single"/>
        </w:rPr>
        <w:t>工程业绩。注：投标人应提供中标通知书、施工合同及竣工相关证明材料，三者缺一不可，合同时间以竣工时间为准。</w:t>
      </w:r>
    </w:p>
    <w:p w14:paraId="2AEAFFD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1、已录入“辽宁省公共资源交易平台主体交易库”中的企业业绩，可以从主体库中选取后关联至投标文件中，作为企业业绩的证明材料。</w:t>
      </w:r>
    </w:p>
    <w:p w14:paraId="45DC2D2E">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2DC73079">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如投标人未按要求提供企业业绩证明材料或企业业绩证明材料中的信息无法证实企业满足招标文件要求，则该项目业绩在评审时不予认定。</w:t>
      </w:r>
    </w:p>
    <w:p w14:paraId="3B0681E3">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6066D84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4、如近年来，投标人法人机构发生变更或重组或法人名称变更时，应提供相关部门的合法批件。</w:t>
      </w:r>
    </w:p>
    <w:p w14:paraId="6A4D703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1.4项目经理和项目总工要求</w:t>
      </w:r>
    </w:p>
    <w:p w14:paraId="309FC6EE">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4B17BBA3">
      <w:pPr>
        <w:pageBreakBefore w:val="0"/>
        <w:kinsoku/>
        <w:wordWrap w:val="0"/>
        <w:bidi w:val="0"/>
        <w:spacing w:line="360" w:lineRule="auto"/>
        <w:ind w:firstLine="480" w:firstLineChars="200"/>
        <w:jc w:val="left"/>
        <w:rPr>
          <w:rFonts w:hint="eastAsia"/>
          <w:sz w:val="24"/>
          <w:szCs w:val="24"/>
          <w:highlight w:val="none"/>
          <w:u w:val="single"/>
          <w:lang w:eastAsia="zh-CN"/>
        </w:rPr>
      </w:pPr>
      <w:r>
        <w:rPr>
          <w:rFonts w:hint="eastAsia"/>
          <w:sz w:val="24"/>
          <w:szCs w:val="24"/>
          <w:highlight w:val="none"/>
          <w:u w:val="single"/>
          <w:lang w:val="en-US" w:eastAsia="zh-CN"/>
        </w:rPr>
        <w:t>项目总工程师</w:t>
      </w:r>
      <w:r>
        <w:rPr>
          <w:rFonts w:hint="eastAsia"/>
          <w:sz w:val="24"/>
          <w:szCs w:val="24"/>
          <w:highlight w:val="none"/>
          <w:u w:val="single"/>
        </w:rPr>
        <w:t xml:space="preserve"> (1名) ：公路工程相关专业中级及以上技术职称</w:t>
      </w:r>
      <w:r>
        <w:rPr>
          <w:rFonts w:hint="eastAsia"/>
          <w:sz w:val="24"/>
          <w:szCs w:val="24"/>
          <w:highlight w:val="none"/>
          <w:u w:val="single"/>
          <w:lang w:eastAsia="zh-CN"/>
        </w:rPr>
        <w:t>。</w:t>
      </w:r>
    </w:p>
    <w:p w14:paraId="389785A5">
      <w:pPr>
        <w:pStyle w:val="28"/>
        <w:jc w:val="left"/>
        <w:rPr>
          <w:rFonts w:hint="default" w:asciiTheme="minorHAnsi" w:hAnsiTheme="minorHAnsi" w:eastAsiaTheme="minorEastAsia" w:cstheme="minorBidi"/>
          <w:color w:val="auto"/>
          <w:kern w:val="2"/>
          <w:sz w:val="24"/>
          <w:szCs w:val="24"/>
          <w:highlight w:val="none"/>
          <w:u w:val="single"/>
          <w:lang w:val="en-US" w:eastAsia="zh-CN" w:bidi="ar-SA"/>
        </w:rPr>
      </w:pPr>
      <w:r>
        <w:rPr>
          <w:rFonts w:hint="eastAsia"/>
          <w:sz w:val="24"/>
          <w:szCs w:val="24"/>
          <w:highlight w:val="none"/>
          <w:lang w:val="en-US" w:eastAsia="zh-CN"/>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 xml:space="preserve"> 项目经理和项目总工程师不得同时在两个及以上项目任职。</w:t>
      </w:r>
    </w:p>
    <w:p w14:paraId="07739A95">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1.5信誉要求</w:t>
      </w:r>
    </w:p>
    <w:p w14:paraId="6C0B60FF">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（1）未被省级及以上交通运输主管部门取消招标项目所在地的投标资格且处于有效期内；</w:t>
      </w:r>
    </w:p>
    <w:p w14:paraId="32D782D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（2）未被责令停业，暂扣或吊销执照，或吊销资质证书；</w:t>
      </w:r>
    </w:p>
    <w:p w14:paraId="2C805819">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（3）未进入清算程序，或被宣告破产，或其他丧失履约能力的情形；</w:t>
      </w:r>
    </w:p>
    <w:p w14:paraId="6036A53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（4）在国家企业信用信息公示系统（http：//www.gsxt.gov.cn）中未被列入严重违法失信企业名单；</w:t>
      </w:r>
    </w:p>
    <w:p w14:paraId="31382698">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（5）在“信用中国”网站（http：//www.creditchina.gov.cn）中未被列入失信被执行人名单；</w:t>
      </w:r>
    </w:p>
    <w:p w14:paraId="0F0F2623">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（6）投标人或其法定代表人、拟委任的项目经理在近三年内没有行贿犯罪行为的；</w:t>
      </w:r>
    </w:p>
    <w:p w14:paraId="4D43FD6F">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（7）投标人在以往工程未因拖欠农民工工资、材料采购、工程分包款等，而受到省级有关部门的通报；</w:t>
      </w:r>
    </w:p>
    <w:p w14:paraId="27E15DC5">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（8）法律法规规定的其他情形。</w:t>
      </w:r>
    </w:p>
    <w:p w14:paraId="051551BA">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1.6其他要求</w:t>
      </w:r>
    </w:p>
    <w:p w14:paraId="23CD0600">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（1）根据《关于发布公路工程从业企业资质名录的通知》（厅公路字〔2011〕114号）要求，投标人如为名录范围的施工企业，则应进入交通运输部“全国公路建设市场监督管理系统（</w:t>
      </w:r>
      <w:r>
        <w:rPr>
          <w:rFonts w:hint="eastAsia" w:asciiTheme="minorHAnsi" w:hAnsiTheme="minorHAnsi" w:eastAsiaTheme="minorEastAsia" w:cstheme="minorBidi"/>
          <w:color w:val="auto"/>
          <w:kern w:val="2"/>
          <w:sz w:val="24"/>
          <w:szCs w:val="24"/>
          <w:highlight w:val="none"/>
          <w:u w:val="single"/>
          <w:lang w:val="en-US" w:eastAsia="zh-CN" w:bidi="ar-SA"/>
        </w:rPr>
        <w:fldChar w:fldCharType="begin"/>
      </w:r>
      <w:r>
        <w:rPr>
          <w:rFonts w:hint="eastAsia" w:asciiTheme="minorHAnsi" w:hAnsiTheme="minorHAnsi" w:eastAsiaTheme="minorEastAsia" w:cstheme="minorBidi"/>
          <w:color w:val="auto"/>
          <w:kern w:val="2"/>
          <w:sz w:val="24"/>
          <w:szCs w:val="24"/>
          <w:highlight w:val="none"/>
          <w:u w:val="single"/>
          <w:lang w:val="en-US" w:eastAsia="zh-CN" w:bidi="ar-SA"/>
        </w:rPr>
        <w:instrText xml:space="preserve"> HYPERLINK "https://hwdms.mot.gov.cn/BMWebSite/" </w:instrText>
      </w:r>
      <w:r>
        <w:rPr>
          <w:rFonts w:hint="eastAsia" w:asciiTheme="minorHAnsi" w:hAnsiTheme="minorHAnsi" w:eastAsiaTheme="minorEastAsia" w:cstheme="minorBidi"/>
          <w:color w:val="auto"/>
          <w:kern w:val="2"/>
          <w:sz w:val="24"/>
          <w:szCs w:val="24"/>
          <w:highlight w:val="none"/>
          <w:u w:val="single"/>
          <w:lang w:val="en-US" w:eastAsia="zh-CN" w:bidi="ar-SA"/>
        </w:rPr>
        <w:fldChar w:fldCharType="separate"/>
      </w:r>
      <w:r>
        <w:rPr>
          <w:rFonts w:hint="eastAsia" w:asciiTheme="minorHAnsi" w:hAnsiTheme="minorHAnsi" w:eastAsiaTheme="minorEastAsia" w:cstheme="minorBidi"/>
          <w:color w:val="auto"/>
          <w:kern w:val="2"/>
          <w:sz w:val="24"/>
          <w:szCs w:val="24"/>
          <w:highlight w:val="none"/>
          <w:u w:val="single"/>
          <w:lang w:val="en-US" w:eastAsia="zh-CN" w:bidi="ar-SA"/>
        </w:rPr>
        <w:t>https://hwdms.mot.gov.cn/BMWebSite/</w:t>
      </w:r>
      <w:r>
        <w:rPr>
          <w:rFonts w:hint="eastAsia" w:asciiTheme="minorHAnsi" w:hAnsiTheme="minorHAnsi" w:eastAsiaTheme="minorEastAsia" w:cstheme="minorBidi"/>
          <w:color w:val="auto"/>
          <w:kern w:val="2"/>
          <w:sz w:val="24"/>
          <w:szCs w:val="24"/>
          <w:highlight w:val="none"/>
          <w:u w:val="single"/>
          <w:lang w:val="en-US" w:eastAsia="zh-CN" w:bidi="ar-SA"/>
        </w:rPr>
        <w:fldChar w:fldCharType="end"/>
      </w:r>
      <w:r>
        <w:rPr>
          <w:rFonts w:hint="eastAsia" w:asciiTheme="minorHAnsi" w:hAnsiTheme="minorHAnsi" w:eastAsiaTheme="minorEastAsia" w:cstheme="minorBidi"/>
          <w:color w:val="auto"/>
          <w:kern w:val="2"/>
          <w:sz w:val="24"/>
          <w:szCs w:val="24"/>
          <w:highlight w:val="none"/>
          <w:u w:val="single"/>
          <w:lang w:val="en-US" w:eastAsia="zh-CN" w:bidi="ar-SA"/>
        </w:rPr>
        <w:t xml:space="preserve"> ） ”中的公路工程施工资质企业名录，且投标人名称和资质与该名录中的相应企业名称和资质完全一致。</w:t>
      </w:r>
    </w:p>
    <w:p w14:paraId="17149F0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（2）      /               。</w:t>
      </w:r>
    </w:p>
    <w:p w14:paraId="55D3C5C3">
      <w:pPr>
        <w:pageBreakBefore w:val="0"/>
        <w:numPr>
          <w:ilvl w:val="0"/>
          <w:numId w:val="0"/>
        </w:numPr>
        <w:kinsoku/>
        <w:wordWrap w:val="0"/>
        <w:bidi w:val="0"/>
        <w:spacing w:line="360" w:lineRule="auto"/>
        <w:ind w:left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 本次招标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不接受      </w:t>
      </w:r>
      <w:r>
        <w:rPr>
          <w:rFonts w:hint="eastAsia" w:ascii="宋体" w:hAnsi="宋体" w:eastAsia="宋体" w:cs="宋体"/>
          <w:sz w:val="24"/>
          <w:szCs w:val="24"/>
          <w:highlight w:val="none"/>
        </w:rPr>
        <w:t>（接受或不接受）联合体投标。</w:t>
      </w:r>
    </w:p>
    <w:p w14:paraId="39461009">
      <w:pPr>
        <w:pageBreakBefore w:val="0"/>
        <w:kinsoku/>
        <w:wordWrap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1个</w:t>
      </w:r>
      <w:r>
        <w:rPr>
          <w:rFonts w:hint="eastAsia" w:ascii="宋体" w:hAnsi="宋体" w:eastAsia="宋体" w:cs="宋体"/>
          <w:sz w:val="24"/>
          <w:szCs w:val="24"/>
          <w:highlight w:val="none"/>
          <w:u w:val="single"/>
        </w:rPr>
        <w:t xml:space="preserve">  标段</w:t>
      </w:r>
      <w:r>
        <w:rPr>
          <w:rFonts w:hint="eastAsia" w:ascii="宋体" w:hAnsi="宋体" w:eastAsia="宋体" w:cs="宋体"/>
          <w:sz w:val="24"/>
          <w:szCs w:val="24"/>
          <w:highlight w:val="none"/>
        </w:rPr>
        <w:t>为同一类型专业工程和同等资格条件要求，每个投标人必须同时递交本次招标的</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个</w:t>
      </w:r>
      <w:r>
        <w:rPr>
          <w:rFonts w:hint="eastAsia" w:ascii="宋体" w:hAnsi="宋体" w:eastAsia="宋体" w:cs="宋体"/>
          <w:sz w:val="24"/>
          <w:szCs w:val="24"/>
          <w:highlight w:val="none"/>
          <w:u w:val="single"/>
        </w:rPr>
        <w:t xml:space="preserve">   标段</w:t>
      </w:r>
      <w:r>
        <w:rPr>
          <w:rFonts w:hint="eastAsia" w:ascii="宋体" w:hAnsi="宋体" w:eastAsia="宋体" w:cs="宋体"/>
          <w:sz w:val="24"/>
          <w:szCs w:val="24"/>
          <w:highlight w:val="none"/>
        </w:rPr>
        <w:t>的投标文件，每个投标人必须同时对本次招标的</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个标段进行投标，最多允许中其中</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个标段。各投标人将在开标现场通过随机抽取的方式随机确定中标标段；</w:t>
      </w:r>
    </w:p>
    <w:p w14:paraId="09A8A2DA">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 与招标人存在利害关系可能影响招标公正性的单位，不得参加投标。单位负责人为同一人或存在控股、管理关系的不同单位，不得参加同一标段投标，否则，相关投标均无效。</w:t>
      </w:r>
    </w:p>
    <w:p w14:paraId="4ABB1FCB">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sz w:val="24"/>
          <w:szCs w:val="24"/>
          <w:highlight w:val="none"/>
        </w:rPr>
        <w:t xml:space="preserve">3.5 </w:t>
      </w:r>
      <w:r>
        <w:rPr>
          <w:rFonts w:hint="eastAsia" w:ascii="宋体" w:hAnsi="宋体" w:eastAsia="宋体" w:cs="宋体"/>
          <w:kern w:val="28"/>
          <w:sz w:val="24"/>
          <w:szCs w:val="24"/>
          <w:highlight w:val="none"/>
        </w:rPr>
        <w:t>存在下列不良状况或不良信用记录的单位，不得以任何形式参加投标：</w:t>
      </w:r>
    </w:p>
    <w:p w14:paraId="61AD6776">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（1）被省级及以上交通运输主管部门取消招标项目所在地的投标资格且处于有效期内；</w:t>
      </w:r>
    </w:p>
    <w:p w14:paraId="13B9E04A">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（2）被责令停业，暂扣或吊销执照，或吊销资质证书；</w:t>
      </w:r>
    </w:p>
    <w:p w14:paraId="22924BD5">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（3）进入清算程序，或被宣告破产，或其他丧失履约能力的情形；</w:t>
      </w:r>
    </w:p>
    <w:p w14:paraId="44499AB0">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（4）在国家企业信用信息公示系统（http：//www.gsxt.gov.cn）中被列入严重违法失信企业名单；</w:t>
      </w:r>
    </w:p>
    <w:p w14:paraId="17195FCC">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（5）在“信用中国”网站（http：//www.creditchina.gov.cn）中被列入失信被执行人名单；</w:t>
      </w:r>
    </w:p>
    <w:p w14:paraId="6EED3024">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（6）投标人或其法定代表人、拟委任的项目</w:t>
      </w:r>
      <w:r>
        <w:rPr>
          <w:rFonts w:hint="eastAsia" w:ascii="宋体" w:hAnsi="宋体" w:eastAsia="宋体" w:cs="宋体"/>
          <w:kern w:val="28"/>
          <w:sz w:val="24"/>
          <w:szCs w:val="24"/>
          <w:highlight w:val="none"/>
          <w:lang w:val="en-US" w:eastAsia="zh-CN"/>
        </w:rPr>
        <w:t>经理</w:t>
      </w:r>
      <w:r>
        <w:rPr>
          <w:rFonts w:hint="eastAsia" w:ascii="宋体" w:hAnsi="宋体" w:eastAsia="宋体" w:cs="宋体"/>
          <w:kern w:val="28"/>
          <w:sz w:val="24"/>
          <w:szCs w:val="24"/>
          <w:highlight w:val="none"/>
        </w:rPr>
        <w:t>在近三年内有行贿犯罪行为的；</w:t>
      </w:r>
    </w:p>
    <w:p w14:paraId="59FAA2C6">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kern w:val="28"/>
          <w:sz w:val="24"/>
          <w:szCs w:val="24"/>
          <w:highlight w:val="none"/>
        </w:rPr>
        <w:t>（7）法律法规规定的其他情形</w:t>
      </w:r>
      <w:r>
        <w:rPr>
          <w:rFonts w:hint="eastAsia" w:ascii="宋体" w:hAnsi="宋体" w:eastAsia="宋体" w:cs="宋体"/>
          <w:kern w:val="28"/>
          <w:sz w:val="24"/>
          <w:szCs w:val="24"/>
          <w:highlight w:val="none"/>
          <w:lang w:eastAsia="zh-CN"/>
        </w:rPr>
        <w:t>。</w:t>
      </w:r>
    </w:p>
    <w:p w14:paraId="1D0098CD">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7" w:name="_Toc470760976"/>
      <w:bookmarkStart w:id="8" w:name="_Toc20700"/>
      <w:bookmarkStart w:id="9" w:name="_Toc4518"/>
      <w:r>
        <w:rPr>
          <w:rFonts w:hint="eastAsia" w:ascii="宋体" w:hAnsi="宋体" w:eastAsia="宋体" w:cs="宋体"/>
          <w:sz w:val="24"/>
          <w:szCs w:val="24"/>
          <w:highlight w:val="none"/>
        </w:rPr>
        <w:t>4. 招标文件的获取</w:t>
      </w:r>
      <w:bookmarkEnd w:id="7"/>
      <w:bookmarkEnd w:id="8"/>
      <w:bookmarkEnd w:id="9"/>
      <w:r>
        <w:rPr>
          <w:rFonts w:hint="eastAsia" w:ascii="宋体" w:hAnsi="宋体" w:eastAsia="宋体" w:cs="宋体"/>
          <w:sz w:val="24"/>
          <w:szCs w:val="24"/>
          <w:highlight w:val="none"/>
        </w:rPr>
        <w:tab/>
      </w:r>
    </w:p>
    <w:p w14:paraId="219C0D72">
      <w:pPr>
        <w:pageBreakBefore w:val="0"/>
        <w:tabs>
          <w:tab w:val="left" w:pos="360"/>
        </w:tabs>
        <w:kinsoku/>
        <w:wordWrap w:val="0"/>
        <w:bidi w:val="0"/>
        <w:spacing w:line="36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凡有意参加投标者，请在</w:t>
      </w:r>
      <w:r>
        <w:rPr>
          <w:rFonts w:hint="eastAsia" w:ascii="宋体" w:hAnsi="宋体" w:eastAsia="宋体" w:cs="宋体"/>
          <w:sz w:val="24"/>
          <w:szCs w:val="24"/>
          <w:highlight w:val="none"/>
          <w:u w:val="single"/>
        </w:rPr>
        <w:t xml:space="preserve"> 辽宁省公共资源交易一张网电子化平台 </w:t>
      </w:r>
      <w:r>
        <w:rPr>
          <w:rFonts w:hint="eastAsia" w:ascii="宋体" w:hAnsi="宋体" w:eastAsia="宋体" w:cs="宋体"/>
          <w:sz w:val="24"/>
          <w:szCs w:val="24"/>
          <w:highlight w:val="none"/>
        </w:rPr>
        <w:t>电子交易平台（以下简称“电子交易平台”，网址：</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color="auto"/>
          <w:lang w:val="en-US" w:eastAsia="zh-CN"/>
        </w:rPr>
        <w:t>https://www.lnsggzy.com/EpointSSO/login/oauth2login</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rPr>
        <w:t>进行注册，并</w:t>
      </w: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CA数字证书。</w:t>
      </w:r>
    </w:p>
    <w:p w14:paraId="2F76E262">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完成网员注册后，</w:t>
      </w:r>
      <w:r>
        <w:rPr>
          <w:rFonts w:hint="eastAsia" w:ascii="宋体" w:hAnsi="宋体" w:eastAsia="宋体" w:cs="宋体"/>
          <w:sz w:val="24"/>
          <w:szCs w:val="24"/>
          <w:highlight w:val="none"/>
        </w:rPr>
        <w:t>请于</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分至</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w:t>
      </w:r>
      <w:r>
        <w:rPr>
          <w:rFonts w:hint="eastAsia" w:ascii="宋体" w:hAnsi="宋体" w:eastAsia="宋体" w:cs="宋体"/>
          <w:sz w:val="24"/>
          <w:szCs w:val="24"/>
          <w:highlight w:val="none"/>
        </w:rPr>
        <w:t>（北京时间，下同），通过互联网使用CA数字证书登录“电子交易平台”，明确所投标段，</w:t>
      </w:r>
      <w:r>
        <w:rPr>
          <w:rFonts w:hint="eastAsia" w:ascii="宋体" w:hAnsi="宋体" w:eastAsia="宋体" w:cs="宋体"/>
          <w:sz w:val="24"/>
          <w:szCs w:val="24"/>
          <w:highlight w:val="none"/>
          <w:lang w:val="en-US" w:eastAsia="zh-CN"/>
        </w:rPr>
        <w:t>匿名免费下载招标文件</w:t>
      </w:r>
      <w:r>
        <w:rPr>
          <w:rFonts w:hint="eastAsia" w:ascii="宋体" w:hAnsi="宋体" w:eastAsia="宋体" w:cs="宋体"/>
          <w:sz w:val="24"/>
          <w:szCs w:val="24"/>
          <w:highlight w:val="none"/>
        </w:rPr>
        <w:t>、图纸和参考资料。联合体投标的，由联合体牵头人完成网上支付、招标文件等资料下载。</w:t>
      </w:r>
    </w:p>
    <w:p w14:paraId="16C4CB1E">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10" w:name="_Toc470760977"/>
      <w:bookmarkStart w:id="11" w:name="_Toc3753"/>
      <w:bookmarkStart w:id="12" w:name="_Toc22946"/>
      <w:r>
        <w:rPr>
          <w:rFonts w:hint="eastAsia" w:ascii="宋体" w:hAnsi="宋体" w:eastAsia="宋体" w:cs="宋体"/>
          <w:sz w:val="24"/>
          <w:szCs w:val="24"/>
          <w:highlight w:val="none"/>
        </w:rPr>
        <w:t>5. 投标文件的递交及相关事宜</w:t>
      </w:r>
      <w:bookmarkEnd w:id="10"/>
      <w:bookmarkEnd w:id="11"/>
      <w:bookmarkEnd w:id="12"/>
    </w:p>
    <w:p w14:paraId="39878D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5.1 招标人将</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sdt>
        <w:sdtPr>
          <w:rPr>
            <w:rFonts w:hint="eastAsia" w:ascii="宋体" w:hAnsi="宋体" w:eastAsia="宋体" w:cs="宋体"/>
            <w:b w:val="0"/>
            <w:bCs w:val="0"/>
            <w:color w:val="auto"/>
            <w:sz w:val="24"/>
            <w:szCs w:val="24"/>
            <w:highlight w:val="none"/>
            <w:shd w:val="clear" w:color="auto" w:fill="FFFFFF"/>
          </w:rPr>
          <w:id w:val="147455206"/>
          <w14:checkbox>
            <w14:checked w14:val="1"/>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Wingdings 2" w:hAnsi="Wingdings 2" w:eastAsia="宋体" w:cs="宋体"/>
              <w:b w:val="0"/>
              <w:bCs w:val="0"/>
              <w:color w:val="auto"/>
              <w:kern w:val="2"/>
              <w:sz w:val="24"/>
              <w:szCs w:val="24"/>
              <w:highlight w:val="none"/>
              <w:shd w:val="clear" w:color="auto" w:fill="FFFFFF"/>
              <w:lang w:val="en-US" w:eastAsia="zh-CN" w:bidi="ar-SA"/>
            </w:rPr>
            <w:t>R</w:t>
          </w:r>
        </w:sdtContent>
      </w:sdt>
      <w:r>
        <w:rPr>
          <w:rFonts w:hint="eastAsia" w:ascii="宋体" w:hAnsi="宋体" w:eastAsia="宋体" w:cs="宋体"/>
          <w:b w:val="0"/>
          <w:bCs w:val="0"/>
          <w:color w:val="auto"/>
          <w:sz w:val="24"/>
          <w:szCs w:val="24"/>
          <w:highlight w:val="none"/>
        </w:rPr>
        <w:t xml:space="preserve"> 不组织进行工程现场踏勘和召开投标预备会。</w:t>
      </w:r>
    </w:p>
    <w:p w14:paraId="4BF8E1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jc w:val="left"/>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宋体" w:hAnsi="宋体" w:eastAsia="宋体" w:cs="宋体"/>
              <w:b w:val="0"/>
              <w:bCs w:val="0"/>
              <w:color w:val="auto"/>
              <w:kern w:val="2"/>
              <w:sz w:val="24"/>
              <w:szCs w:val="24"/>
              <w:highlight w:val="none"/>
              <w:shd w:val="clear" w:color="auto" w:fill="FFFFFF"/>
              <w:lang w:val="en-US" w:eastAsia="zh-CN" w:bidi="ar-SA"/>
            </w:rPr>
            <w:t>☐</w:t>
          </w:r>
        </w:sdtContent>
      </w:sdt>
      <w:r>
        <w:rPr>
          <w:rFonts w:hint="eastAsia" w:ascii="宋体" w:hAnsi="宋体" w:eastAsia="宋体" w:cs="宋体"/>
          <w:b w:val="0"/>
          <w:bCs w:val="0"/>
          <w:color w:val="auto"/>
          <w:sz w:val="24"/>
          <w:szCs w:val="24"/>
          <w:highlight w:val="none"/>
        </w:rPr>
        <w:t xml:space="preserve"> 组织进行工程现场踏勘和召开投标预备会，时间地点：</w:t>
      </w:r>
    </w:p>
    <w:p w14:paraId="69D30313">
      <w:pPr>
        <w:spacing w:before="78" w:line="220" w:lineRule="auto"/>
        <w:ind w:left="483"/>
        <w:rPr>
          <w:rFonts w:ascii="宋体" w:hAnsi="宋体" w:eastAsia="宋体" w:cs="宋体"/>
          <w:sz w:val="24"/>
          <w:szCs w:val="24"/>
          <w:highlight w:val="none"/>
        </w:rPr>
      </w:pPr>
      <w:r>
        <w:rPr>
          <w:rFonts w:ascii="宋体" w:hAnsi="宋体" w:eastAsia="宋体" w:cs="宋体"/>
          <w:spacing w:val="-11"/>
          <w:sz w:val="24"/>
          <w:szCs w:val="24"/>
          <w:highlight w:val="none"/>
        </w:rPr>
        <w:t>踏勘现场时间：</w:t>
      </w:r>
      <w:r>
        <w:rPr>
          <w:rFonts w:ascii="宋体" w:hAnsi="宋体" w:eastAsia="宋体" w:cs="宋体"/>
          <w:spacing w:val="-11"/>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1"/>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11"/>
          <w:sz w:val="24"/>
          <w:szCs w:val="24"/>
          <w:highlight w:val="none"/>
        </w:rPr>
        <w:t>日</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11"/>
          <w:sz w:val="24"/>
          <w:szCs w:val="24"/>
          <w:highlight w:val="none"/>
        </w:rPr>
        <w:t>时</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1"/>
          <w:sz w:val="24"/>
          <w:szCs w:val="24"/>
          <w:highlight w:val="none"/>
        </w:rPr>
        <w:t>分，集中地点</w:t>
      </w:r>
      <w:r>
        <w:rPr>
          <w:rFonts w:ascii="宋体" w:hAnsi="宋体" w:eastAsia="宋体" w:cs="宋体"/>
          <w:spacing w:val="-51"/>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51"/>
          <w:sz w:val="24"/>
          <w:szCs w:val="24"/>
          <w:highlight w:val="none"/>
        </w:rPr>
        <w:t>；</w:t>
      </w:r>
    </w:p>
    <w:p w14:paraId="6ED0915C">
      <w:pPr>
        <w:spacing w:before="273"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投标预备会时间：</w:t>
      </w:r>
      <w:r>
        <w:rPr>
          <w:rFonts w:ascii="宋体" w:hAnsi="宋体" w:eastAsia="宋体" w:cs="宋体"/>
          <w:spacing w:val="-4"/>
          <w:sz w:val="24"/>
          <w:szCs w:val="24"/>
          <w:highlight w:val="none"/>
          <w:u w:val="single" w:color="auto"/>
        </w:rPr>
        <w:t xml:space="preserve">    </w:t>
      </w:r>
      <w:r>
        <w:rPr>
          <w:rFonts w:ascii="宋体" w:hAnsi="宋体" w:eastAsia="宋体" w:cs="宋体"/>
          <w:spacing w:val="-96"/>
          <w:sz w:val="24"/>
          <w:szCs w:val="24"/>
          <w:highlight w:val="none"/>
        </w:rPr>
        <w:t xml:space="preserve"> </w:t>
      </w:r>
      <w:r>
        <w:rPr>
          <w:rFonts w:ascii="宋体" w:hAnsi="宋体" w:eastAsia="宋体" w:cs="宋体"/>
          <w:spacing w:val="-4"/>
          <w:sz w:val="24"/>
          <w:szCs w:val="24"/>
          <w:highlight w:val="none"/>
        </w:rPr>
        <w:t>年</w:t>
      </w:r>
      <w:r>
        <w:rPr>
          <w:rFonts w:ascii="宋体" w:hAnsi="宋体" w:eastAsia="宋体" w:cs="宋体"/>
          <w:spacing w:val="-4"/>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4"/>
          <w:sz w:val="24"/>
          <w:szCs w:val="24"/>
          <w:highlight w:val="none"/>
        </w:rPr>
        <w:t>月</w:t>
      </w:r>
      <w:r>
        <w:rPr>
          <w:rFonts w:ascii="宋体" w:hAnsi="宋体" w:eastAsia="宋体" w:cs="宋体"/>
          <w:spacing w:val="-4"/>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4"/>
          <w:sz w:val="24"/>
          <w:szCs w:val="24"/>
          <w:highlight w:val="none"/>
        </w:rPr>
        <w:t>日</w:t>
      </w:r>
      <w:r>
        <w:rPr>
          <w:rFonts w:ascii="宋体" w:hAnsi="宋体" w:eastAsia="宋体" w:cs="宋体"/>
          <w:spacing w:val="-4"/>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4"/>
          <w:sz w:val="24"/>
          <w:szCs w:val="24"/>
          <w:highlight w:val="none"/>
        </w:rPr>
        <w:t>时</w:t>
      </w:r>
      <w:r>
        <w:rPr>
          <w:rFonts w:ascii="宋体" w:hAnsi="宋体" w:eastAsia="宋体" w:cs="宋体"/>
          <w:spacing w:val="-4"/>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4"/>
          <w:sz w:val="24"/>
          <w:szCs w:val="24"/>
          <w:highlight w:val="none"/>
        </w:rPr>
        <w:t>分，地点：</w:t>
      </w:r>
      <w:r>
        <w:rPr>
          <w:rFonts w:ascii="宋体" w:hAnsi="宋体" w:eastAsia="宋体" w:cs="宋体"/>
          <w:sz w:val="24"/>
          <w:szCs w:val="24"/>
          <w:highlight w:val="none"/>
          <w:u w:val="single" w:color="auto"/>
        </w:rPr>
        <w:t xml:space="preserve">                  </w:t>
      </w:r>
      <w:r>
        <w:rPr>
          <w:rFonts w:ascii="宋体" w:hAnsi="宋体" w:eastAsia="宋体" w:cs="宋体"/>
          <w:spacing w:val="-4"/>
          <w:sz w:val="24"/>
          <w:szCs w:val="24"/>
          <w:highlight w:val="none"/>
        </w:rPr>
        <w:t>。</w:t>
      </w:r>
    </w:p>
    <w:p w14:paraId="218C196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val="0"/>
          <w:color w:val="auto"/>
          <w:sz w:val="24"/>
          <w:szCs w:val="24"/>
          <w:highlight w:val="none"/>
        </w:rPr>
      </w:pPr>
    </w:p>
    <w:p w14:paraId="49592D73">
      <w:pPr>
        <w:pageBreakBefore w:val="0"/>
        <w:kinsoku/>
        <w:wordWrap w:val="0"/>
        <w:bidi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5.2 投标文件应为加密的投标文件。投标文件递交的截止时间（投标截止时间，下同）</w:t>
      </w:r>
      <w:r>
        <w:rPr>
          <w:rFonts w:hint="eastAsia" w:ascii="宋体" w:hAnsi="宋体" w:eastAsia="宋体" w:cs="宋体"/>
          <w:sz w:val="24"/>
          <w:szCs w:val="24"/>
          <w:highlight w:val="none"/>
        </w:rPr>
        <w:t>为</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rPr>
        <w:t>时</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w:t>
      </w:r>
      <w:r>
        <w:rPr>
          <w:rFonts w:hint="eastAsia" w:ascii="宋体" w:hAnsi="宋体" w:eastAsia="宋体" w:cs="宋体"/>
          <w:sz w:val="24"/>
          <w:szCs w:val="24"/>
          <w:highlight w:val="none"/>
        </w:rPr>
        <w:t>投</w:t>
      </w:r>
      <w:r>
        <w:rPr>
          <w:rFonts w:hint="eastAsia" w:ascii="宋体" w:hAnsi="宋体" w:eastAsia="宋体" w:cs="宋体"/>
          <w:sz w:val="24"/>
          <w:szCs w:val="24"/>
          <w:highlight w:val="none"/>
        </w:rPr>
        <w:t>标人应在投标截止时间前，通过互联网使用CA数字证书登录“电子交易平台”，将加密的投标文件上传。</w:t>
      </w:r>
      <w:r>
        <w:rPr>
          <w:rFonts w:hint="eastAsia" w:ascii="宋体" w:hAnsi="宋体" w:eastAsia="宋体" w:cs="宋体"/>
          <w:color w:val="auto"/>
          <w:sz w:val="24"/>
          <w:szCs w:val="24"/>
          <w:highlight w:val="none"/>
        </w:rPr>
        <w:t>逾期未完成上传或未按规定加密的投标文件，招标人予以拒收</w:t>
      </w:r>
      <w:r>
        <w:rPr>
          <w:rFonts w:hint="eastAsia" w:ascii="宋体" w:hAnsi="宋体" w:eastAsia="宋体" w:cs="宋体"/>
          <w:b/>
          <w:bCs/>
          <w:color w:val="auto"/>
          <w:sz w:val="24"/>
          <w:szCs w:val="24"/>
          <w:highlight w:val="none"/>
        </w:rPr>
        <w:t>。</w:t>
      </w:r>
      <w:r>
        <w:rPr>
          <w:rFonts w:ascii="宋体" w:hAnsi="宋体" w:eastAsia="宋体" w:cs="宋体"/>
          <w:spacing w:val="-8"/>
          <w:sz w:val="24"/>
          <w:szCs w:val="24"/>
          <w:highlight w:val="none"/>
        </w:rPr>
        <w:t>联合体投标的，</w:t>
      </w:r>
      <w:r>
        <w:rPr>
          <w:rFonts w:ascii="宋体" w:hAnsi="宋体" w:eastAsia="宋体" w:cs="宋体"/>
          <w:spacing w:val="-3"/>
          <w:sz w:val="24"/>
          <w:szCs w:val="24"/>
          <w:highlight w:val="none"/>
        </w:rPr>
        <w:t>由联合体牵头人完成投标文件的上传等工作。</w:t>
      </w:r>
    </w:p>
    <w:p w14:paraId="2E98FECC">
      <w:pPr>
        <w:pStyle w:val="2"/>
        <w:pageBreakBefore w:val="0"/>
        <w:kinsoku/>
        <w:wordWrap w:val="0"/>
        <w:overflowPunct/>
        <w:bidi w:val="0"/>
        <w:spacing w:line="360" w:lineRule="auto"/>
        <w:jc w:val="left"/>
        <w:outlineLvl w:val="0"/>
        <w:rPr>
          <w:rFonts w:hint="eastAsia" w:ascii="宋体" w:hAnsi="宋体" w:eastAsia="宋体" w:cs="宋体"/>
          <w:b w:val="0"/>
          <w:bCs/>
          <w:i w:val="0"/>
          <w:iCs w:val="0"/>
          <w:kern w:val="44"/>
          <w:sz w:val="24"/>
          <w:szCs w:val="24"/>
          <w:highlight w:val="none"/>
          <w:lang w:val="en-US" w:eastAsia="zh-CN" w:bidi="ar-SA"/>
        </w:rPr>
      </w:pPr>
      <w:bookmarkStart w:id="13" w:name="_Toc12805"/>
      <w:bookmarkStart w:id="14" w:name="_Toc31627"/>
      <w:bookmarkStart w:id="15" w:name="_Toc6994_WPSOffice_Level2"/>
      <w:bookmarkStart w:id="16" w:name="_Toc29510"/>
      <w:bookmarkStart w:id="17" w:name="_Toc4681"/>
      <w:bookmarkStart w:id="18" w:name="_Toc234832850"/>
      <w:r>
        <w:rPr>
          <w:rFonts w:hint="eastAsia" w:ascii="宋体" w:hAnsi="宋体" w:eastAsia="宋体" w:cs="宋体"/>
          <w:b w:val="0"/>
          <w:bCs/>
          <w:i w:val="0"/>
          <w:iCs w:val="0"/>
          <w:kern w:val="44"/>
          <w:sz w:val="24"/>
          <w:szCs w:val="24"/>
          <w:highlight w:val="none"/>
          <w:lang w:val="en-US" w:eastAsia="zh-CN" w:bidi="ar-SA"/>
        </w:rPr>
        <w:t>6. 评标办法</w:t>
      </w:r>
      <w:bookmarkEnd w:id="13"/>
      <w:bookmarkEnd w:id="14"/>
      <w:bookmarkEnd w:id="15"/>
      <w:bookmarkEnd w:id="16"/>
      <w:bookmarkEnd w:id="17"/>
    </w:p>
    <w:p w14:paraId="77B5BBA9">
      <w:pPr>
        <w:pageBreakBefore w:val="0"/>
        <w:shd w:val="clear"/>
        <w:kinsoku/>
        <w:wordWrap w:val="0"/>
        <w:overflowPunct w:val="0"/>
        <w:autoSpaceDE/>
        <w:autoSpaceDN/>
        <w:bidi w:val="0"/>
        <w:adjustRightInd/>
        <w:snapToGrid/>
        <w:spacing w:line="360" w:lineRule="auto"/>
        <w:ind w:firstLine="472"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本项目评标办法采用</w:t>
      </w:r>
      <w:r>
        <w:rPr>
          <w:rFonts w:hint="eastAsia" w:ascii="宋体" w:hAnsi="宋体" w:eastAsia="宋体" w:cs="宋体"/>
          <w:color w:val="auto"/>
          <w:spacing w:val="129"/>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合理低价法</w:t>
      </w:r>
      <w:r>
        <w:rPr>
          <w:rFonts w:hint="eastAsia" w:ascii="宋体" w:hAnsi="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u w:val="none"/>
          <w:lang w:val="en-US" w:eastAsia="zh-CN"/>
        </w:rPr>
        <w:t>评标办法</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rPr>
        <w:t>，评标标准和方法详见</w:t>
      </w:r>
      <w:r>
        <w:rPr>
          <w:rFonts w:hint="eastAsia" w:ascii="宋体" w:hAnsi="宋体" w:eastAsia="宋体" w:cs="宋体"/>
          <w:color w:val="auto"/>
          <w:spacing w:val="-2"/>
          <w:sz w:val="24"/>
          <w:szCs w:val="24"/>
          <w:highlight w:val="none"/>
          <w:u w:val="single"/>
        </w:rPr>
        <w:t>辽宁省招标投标监管网附件《招标公告》</w:t>
      </w:r>
      <w:r>
        <w:rPr>
          <w:rFonts w:hint="eastAsia" w:ascii="宋体" w:hAnsi="宋体" w:eastAsia="宋体" w:cs="宋体"/>
          <w:color w:val="auto"/>
          <w:spacing w:val="-6"/>
          <w:sz w:val="24"/>
          <w:szCs w:val="24"/>
          <w:highlight w:val="none"/>
        </w:rPr>
        <w:t>。</w:t>
      </w:r>
    </w:p>
    <w:p w14:paraId="5CE9068E">
      <w:pPr>
        <w:pStyle w:val="2"/>
        <w:pageBreakBefore w:val="0"/>
        <w:kinsoku/>
        <w:wordWrap w:val="0"/>
        <w:overflowPunct/>
        <w:bidi w:val="0"/>
        <w:spacing w:before="240" w:after="240" w:line="360" w:lineRule="auto"/>
        <w:jc w:val="left"/>
        <w:rPr>
          <w:rFonts w:hint="eastAsia" w:ascii="宋体" w:hAnsi="宋体" w:eastAsia="宋体" w:cs="宋体"/>
          <w:sz w:val="24"/>
          <w:szCs w:val="24"/>
          <w:highlight w:val="none"/>
        </w:rPr>
      </w:pPr>
      <w:bookmarkStart w:id="19" w:name="_Toc31671"/>
      <w:bookmarkStart w:id="20" w:name="_Toc1626"/>
      <w:bookmarkStart w:id="21" w:name="_Toc26310"/>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发布公告的媒介</w:t>
      </w:r>
      <w:bookmarkEnd w:id="18"/>
      <w:bookmarkEnd w:id="19"/>
      <w:bookmarkEnd w:id="20"/>
      <w:bookmarkEnd w:id="21"/>
    </w:p>
    <w:p w14:paraId="68BA991A">
      <w:pPr>
        <w:pStyle w:val="15"/>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本次招标公告同时在</w:t>
      </w:r>
      <w:r>
        <w:rPr>
          <w:rFonts w:hint="eastAsia" w:ascii="宋体" w:hAnsi="宋体" w:eastAsia="宋体" w:cs="宋体"/>
          <w:color w:val="000000"/>
          <w:sz w:val="24"/>
          <w:szCs w:val="24"/>
          <w:highlight w:val="none"/>
          <w:u w:val="single"/>
        </w:rPr>
        <w:t>《辽宁省公共资源交易网》（http://ggzy.ln.gov.cn）</w:t>
      </w:r>
      <w:r>
        <w:rPr>
          <w:rFonts w:hint="eastAsia" w:ascii="宋体" w:hAnsi="宋体" w:eastAsia="宋体" w:cs="宋体"/>
          <w:color w:val="000000"/>
          <w:sz w:val="24"/>
          <w:szCs w:val="24"/>
          <w:highlight w:val="none"/>
          <w:u w:val="single"/>
          <w:lang w:val="en-US" w:eastAsia="zh-CN"/>
        </w:rPr>
        <w:t>以及</w:t>
      </w:r>
      <w:r>
        <w:rPr>
          <w:rFonts w:hint="eastAsia" w:ascii="宋体" w:hAnsi="宋体" w:eastAsia="宋体" w:cs="宋体"/>
          <w:color w:val="000000"/>
          <w:sz w:val="24"/>
          <w:szCs w:val="24"/>
          <w:highlight w:val="none"/>
          <w:u w:val="single"/>
        </w:rPr>
        <w:t xml:space="preserve">    辽宁省招标投标监管网</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全国公共资源交易平台（辽宁·</w:t>
      </w:r>
      <w:r>
        <w:rPr>
          <w:rFonts w:hint="eastAsia" w:ascii="宋体" w:hAnsi="宋体" w:eastAsia="宋体" w:cs="宋体"/>
          <w:color w:val="000000"/>
          <w:sz w:val="24"/>
          <w:szCs w:val="24"/>
          <w:highlight w:val="none"/>
          <w:u w:val="single"/>
          <w:lang w:val="en-US" w:eastAsia="zh-CN"/>
        </w:rPr>
        <w:t>营口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（发布公告的媒介名称）上发布</w:t>
      </w:r>
      <w:r>
        <w:rPr>
          <w:rFonts w:hint="eastAsia" w:ascii="宋体" w:hAnsi="宋体" w:eastAsia="宋体" w:cs="宋体"/>
          <w:sz w:val="24"/>
          <w:szCs w:val="24"/>
          <w:highlight w:val="none"/>
        </w:rPr>
        <w:t>。</w:t>
      </w:r>
    </w:p>
    <w:p w14:paraId="5704C763">
      <w:pPr>
        <w:pStyle w:val="2"/>
        <w:keepNext/>
        <w:keepLines/>
        <w:pageBreakBefore w:val="0"/>
        <w:widowControl w:val="0"/>
        <w:kinsoku/>
        <w:wordWrap w:val="0"/>
        <w:overflowPunct/>
        <w:bidi w:val="0"/>
        <w:adjustRightInd/>
        <w:snapToGrid/>
        <w:spacing w:before="240" w:after="240" w:line="360" w:lineRule="auto"/>
        <w:ind w:right="0" w:rightChars="0"/>
        <w:jc w:val="left"/>
        <w:textAlignment w:val="auto"/>
        <w:outlineLvl w:val="0"/>
        <w:rPr>
          <w:rFonts w:hint="eastAsia" w:ascii="宋体" w:hAnsi="宋体" w:eastAsia="宋体" w:cs="宋体"/>
          <w:b w:val="0"/>
          <w:bCs/>
          <w:color w:val="auto"/>
          <w:kern w:val="44"/>
          <w:sz w:val="24"/>
          <w:szCs w:val="24"/>
          <w:highlight w:val="none"/>
          <w:lang w:val="en-US" w:eastAsia="zh-CN" w:bidi="ar-SA"/>
        </w:rPr>
      </w:pPr>
      <w:bookmarkStart w:id="22" w:name="_Toc20877"/>
      <w:bookmarkStart w:id="23" w:name="_Toc19273"/>
      <w:bookmarkStart w:id="24" w:name="_Toc14979"/>
      <w:bookmarkStart w:id="25" w:name="_Toc470760979"/>
      <w:r>
        <w:rPr>
          <w:rFonts w:hint="eastAsia" w:ascii="宋体" w:hAnsi="宋体" w:eastAsia="宋体" w:cs="宋体"/>
          <w:b w:val="0"/>
          <w:bCs/>
          <w:color w:val="auto"/>
          <w:kern w:val="44"/>
          <w:sz w:val="24"/>
          <w:szCs w:val="24"/>
          <w:highlight w:val="none"/>
          <w:lang w:val="en-US" w:eastAsia="zh-CN" w:bidi="ar-SA"/>
        </w:rPr>
        <w:t>8. 招标工作公开接受社会监督</w:t>
      </w:r>
      <w:bookmarkEnd w:id="22"/>
      <w:bookmarkEnd w:id="23"/>
      <w:bookmarkEnd w:id="24"/>
      <w:r>
        <w:rPr>
          <w:rFonts w:hint="eastAsia" w:ascii="宋体" w:hAnsi="宋体" w:eastAsia="宋体" w:cs="宋体"/>
          <w:b w:val="0"/>
          <w:bCs/>
          <w:color w:val="auto"/>
          <w:kern w:val="44"/>
          <w:sz w:val="24"/>
          <w:szCs w:val="24"/>
          <w:highlight w:val="none"/>
          <w:lang w:val="en-US" w:eastAsia="zh-CN" w:bidi="ar-SA"/>
        </w:rPr>
        <w:t xml:space="preserve"> </w:t>
      </w:r>
    </w:p>
    <w:p w14:paraId="1340E7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8.1 公示制度 </w:t>
      </w:r>
    </w:p>
    <w:p w14:paraId="1E386A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7DC4E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8.2 异议、投诉处理</w:t>
      </w:r>
    </w:p>
    <w:p w14:paraId="4E9530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8.2.1 异议处理 </w:t>
      </w:r>
    </w:p>
    <w:p w14:paraId="795B463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（1）潜在投标人或者其他利害关系人对招标文件的异议以及招标人的答复，均应通过“电子交易系统” 在“异议与答复”菜单中完成。</w:t>
      </w:r>
    </w:p>
    <w:p w14:paraId="1E3CCD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（2）投标人对开标如有异议，应在“电子交易系统”提出。</w:t>
      </w:r>
    </w:p>
    <w:p w14:paraId="2F22B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（3）投标人或者其他利害关系人对评标结果如有异议，应在中标候选人公示期间提出。投标人提出异议以及招标人的答复均应通过“电子交易系统”中进行。</w:t>
      </w:r>
    </w:p>
    <w:p w14:paraId="738E36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8.2.2 投诉处理 </w:t>
      </w:r>
    </w:p>
    <w:p w14:paraId="5B635A9C">
      <w:pPr>
        <w:keepNext/>
        <w:keepLines/>
        <w:pageBreakBefore w:val="0"/>
        <w:kinsoku/>
        <w:wordWrap w:val="0"/>
        <w:bidi w:val="0"/>
        <w:spacing w:before="0" w:after="0"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行政监督部门按照《</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招标投标法实施条例</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"https://baike.baidu.com/item/%E5%B7%A5%E7%A8%8B%E5%BB%BA%E8%AE%BE%E9%A1%B9%E7%9B%AE%E6%8B%9B%E6%A0%87%E6%8A%95%E6%A0%87%E6%B4%BB%E5%8A%A8%E6%8A%95%E8%AF%89%E5%A4%84%E7%90%86%E5%8A%9E%E6%B3%95?fromModule=lemma_search-box"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工程建设项目招标投标活动投诉处理办法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（2013年3月国家发展改革委第23号令修改）、《</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"https://www.ndrc.gov.cn/xwdt/tzgg/202102/t20210225_1267906.html"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关于建立健全招标投标领域优化营商环境长效机制的通知</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》（发改法规〔2021〕240号）、交通运输部《</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"https://baike.baidu.com/item/%E5%85%AC%E8%B7%AF%E5%B7%A5%E7%A8%8B%E5%BB%BA%E8%AE%BE%E9%A1%B9%E7%9B%AE%E6%8B%9B%E6%A0%87%E6%8A%95%E6%A0%87%E7%AE%A1%E7%90%86%E5%8A%9E%E6%B3%95?fromModule=lemma_search-box"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公路工程建设项目招标投标管理办法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》等相关规定，接受针对公示内容的投诉。投诉材料要求、投诉受理条件及查处按照上述规定执行。</w:t>
      </w:r>
    </w:p>
    <w:p w14:paraId="297FD014">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26" w:name="_Toc26506"/>
      <w:bookmarkStart w:id="27" w:name="_Toc17635"/>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联系方式</w:t>
      </w:r>
      <w:bookmarkEnd w:id="25"/>
      <w:bookmarkEnd w:id="26"/>
      <w:bookmarkEnd w:id="27"/>
    </w:p>
    <w:p w14:paraId="0945D1DC">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监督部门：</w:t>
      </w:r>
      <w:r>
        <w:rPr>
          <w:rFonts w:hint="eastAsia" w:ascii="宋体" w:hAnsi="宋体" w:eastAsia="宋体" w:cs="宋体"/>
          <w:color w:val="auto"/>
          <w:sz w:val="24"/>
          <w:szCs w:val="24"/>
          <w:highlight w:val="none"/>
          <w:u w:val="single"/>
        </w:rPr>
        <w:t>大石桥市交通运输局</w:t>
      </w:r>
    </w:p>
    <w:p w14:paraId="0A983F18">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大石桥市哈大中路1号</w:t>
      </w:r>
    </w:p>
    <w:p w14:paraId="0F7EE042">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lang w:val="en-US" w:eastAsia="zh-CN"/>
        </w:rPr>
        <w:t>董博</w:t>
      </w:r>
      <w:r>
        <w:rPr>
          <w:rFonts w:hint="eastAsia" w:ascii="宋体" w:hAnsi="宋体" w:eastAsia="宋体" w:cs="宋体"/>
          <w:color w:val="auto"/>
          <w:sz w:val="24"/>
          <w:szCs w:val="24"/>
          <w:highlight w:val="none"/>
          <w:u w:val="single"/>
        </w:rPr>
        <w:t xml:space="preserve"> </w:t>
      </w:r>
    </w:p>
    <w:p w14:paraId="087EB1F2">
      <w:pPr>
        <w:pageBreakBefore w:val="0"/>
        <w:tabs>
          <w:tab w:val="left" w:pos="7403"/>
        </w:tabs>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u w:val="single"/>
          <w:lang w:eastAsia="zh-CN"/>
        </w:rPr>
        <w:t>0417-5836231</w:t>
      </w:r>
    </w:p>
    <w:p w14:paraId="7770F04B">
      <w:pPr>
        <w:pageBreakBefore w:val="0"/>
        <w:kinsoku/>
        <w:wordWrap w:val="0"/>
        <w:topLinePunct/>
        <w:bidi w:val="0"/>
        <w:spacing w:line="360" w:lineRule="auto"/>
        <w:ind w:firstLine="0" w:firstLineChars="0"/>
        <w:jc w:val="left"/>
        <w:rPr>
          <w:rFonts w:hint="eastAsia" w:ascii="宋体" w:hAnsi="宋体" w:eastAsia="宋体" w:cs="宋体"/>
          <w:color w:val="000000"/>
          <w:sz w:val="24"/>
          <w:szCs w:val="24"/>
          <w:highlight w:val="none"/>
        </w:rPr>
      </w:pPr>
    </w:p>
    <w:p w14:paraId="4D405B6E">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 标 人：</w:t>
      </w:r>
      <w:r>
        <w:rPr>
          <w:rFonts w:hint="eastAsia" w:ascii="宋体" w:hAnsi="宋体" w:cs="宋体"/>
          <w:color w:val="000000"/>
          <w:sz w:val="24"/>
          <w:szCs w:val="24"/>
          <w:highlight w:val="none"/>
          <w:u w:val="single"/>
          <w:lang w:val="en-US" w:eastAsia="zh-CN"/>
        </w:rPr>
        <w:t>大石桥市交通运输事务中心</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4262495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 xml:space="preserve">地 </w:t>
      </w:r>
      <w:r>
        <w:rPr>
          <w:rFonts w:hint="eastAsia" w:ascii="宋体" w:hAnsi="宋体" w:eastAsia="宋体" w:cs="宋体"/>
          <w:color w:val="000000"/>
          <w:sz w:val="24"/>
          <w:szCs w:val="24"/>
          <w:highlight w:val="none"/>
        </w:rPr>
        <w:t xml:space="preserve">   址：</w:t>
      </w:r>
      <w:r>
        <w:rPr>
          <w:rFonts w:hint="eastAsia" w:ascii="宋体" w:hAnsi="宋体" w:cs="宋体"/>
          <w:color w:val="000000"/>
          <w:sz w:val="24"/>
          <w:szCs w:val="24"/>
          <w:highlight w:val="none"/>
          <w:u w:val="single"/>
          <w:lang w:val="en-US" w:eastAsia="zh-CN"/>
        </w:rPr>
        <w:t>大石桥市哈大中路1号</w:t>
      </w:r>
      <w:r>
        <w:rPr>
          <w:rFonts w:hint="eastAsia" w:ascii="宋体" w:hAnsi="宋体" w:eastAsia="宋体" w:cs="宋体"/>
          <w:color w:val="000000"/>
          <w:sz w:val="24"/>
          <w:szCs w:val="24"/>
          <w:highlight w:val="none"/>
          <w:u w:val="single"/>
          <w:lang w:val="en-US" w:eastAsia="zh-CN"/>
        </w:rPr>
        <w:t xml:space="preserve"> </w:t>
      </w:r>
    </w:p>
    <w:p w14:paraId="0B7D1242">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u w:val="single"/>
          <w:lang w:val="en-US" w:eastAsia="zh-CN"/>
        </w:rPr>
        <w:t>孙小迪</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55BDACA">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bookmarkStart w:id="28" w:name="_Toc384308186"/>
      <w:bookmarkStart w:id="29" w:name="_Toc300834928"/>
      <w:bookmarkStart w:id="30" w:name="_Toc3520"/>
      <w:bookmarkStart w:id="31" w:name="_Toc247527534"/>
      <w:bookmarkStart w:id="32" w:name="_Toc361508561"/>
      <w:bookmarkStart w:id="33" w:name="_Toc352691454"/>
      <w:bookmarkStart w:id="34" w:name="_Toc369531496"/>
      <w:bookmarkStart w:id="35" w:name="_Toc247513933"/>
      <w:r>
        <w:rPr>
          <w:rFonts w:hint="eastAsia" w:ascii="宋体" w:hAnsi="宋体" w:cs="宋体"/>
          <w:color w:val="000000"/>
          <w:sz w:val="24"/>
          <w:szCs w:val="24"/>
          <w:highlight w:val="none"/>
          <w:u w:val="single"/>
          <w:lang w:val="en-US" w:eastAsia="zh-CN"/>
        </w:rPr>
        <w:t>0417-5836236</w:t>
      </w:r>
      <w:r>
        <w:rPr>
          <w:rFonts w:hint="eastAsia" w:ascii="宋体" w:hAnsi="宋体" w:eastAsia="宋体" w:cs="宋体"/>
          <w:color w:val="000000"/>
          <w:sz w:val="24"/>
          <w:szCs w:val="24"/>
          <w:highlight w:val="none"/>
          <w:u w:val="single"/>
          <w:lang w:val="en-US" w:eastAsia="zh-CN"/>
        </w:rPr>
        <w:t xml:space="preserve">      </w:t>
      </w:r>
      <w:bookmarkEnd w:id="28"/>
      <w:bookmarkEnd w:id="29"/>
      <w:bookmarkEnd w:id="30"/>
      <w:bookmarkEnd w:id="31"/>
      <w:bookmarkEnd w:id="32"/>
      <w:bookmarkEnd w:id="33"/>
      <w:bookmarkEnd w:id="34"/>
      <w:bookmarkEnd w:id="35"/>
    </w:p>
    <w:p w14:paraId="4466349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bookmarkStart w:id="1592" w:name="_GoBack"/>
      <w:bookmarkEnd w:id="1592"/>
    </w:p>
    <w:p w14:paraId="56B6007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rPr>
        <w:t xml:space="preserve">                   </w:t>
      </w:r>
    </w:p>
    <w:p w14:paraId="23722FA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p>
    <w:p w14:paraId="52CF4CAF">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eastAsia="zh-CN"/>
        </w:rPr>
      </w:pPr>
    </w:p>
    <w:p w14:paraId="35B56A2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u w:val="single"/>
          <w:lang w:val="en-US" w:eastAsia="zh-CN"/>
        </w:rPr>
        <w:t>辽宁鼎域咨询有限公司</w:t>
      </w:r>
      <w:r>
        <w:rPr>
          <w:rFonts w:hint="eastAsia" w:ascii="宋体" w:hAnsi="宋体" w:eastAsia="宋体" w:cs="宋体"/>
          <w:color w:val="000000"/>
          <w:sz w:val="24"/>
          <w:szCs w:val="24"/>
          <w:highlight w:val="none"/>
          <w:u w:val="single"/>
          <w:lang w:val="en-US" w:eastAsia="zh-CN"/>
        </w:rPr>
        <w:t xml:space="preserve">   </w:t>
      </w:r>
    </w:p>
    <w:p w14:paraId="1C8D59A8">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营口市站前区东市北街34甲13号</w:t>
      </w:r>
      <w:r>
        <w:rPr>
          <w:rFonts w:hint="eastAsia" w:ascii="宋体" w:hAnsi="宋体" w:eastAsia="宋体" w:cs="宋体"/>
          <w:color w:val="000000"/>
          <w:sz w:val="24"/>
          <w:szCs w:val="24"/>
          <w:highlight w:val="none"/>
          <w:u w:val="single"/>
          <w:lang w:val="en-US" w:eastAsia="zh-CN"/>
        </w:rPr>
        <w:t xml:space="preserve">      </w:t>
      </w:r>
    </w:p>
    <w:p w14:paraId="2B5D3751">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115000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C236A9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赵雲龙</w:t>
      </w:r>
      <w:r>
        <w:rPr>
          <w:rFonts w:hint="eastAsia" w:ascii="宋体" w:hAnsi="宋体" w:eastAsia="宋体" w:cs="宋体"/>
          <w:color w:val="000000"/>
          <w:sz w:val="24"/>
          <w:szCs w:val="24"/>
          <w:highlight w:val="none"/>
          <w:u w:val="single"/>
          <w:lang w:val="en-US" w:eastAsia="zh-CN"/>
        </w:rPr>
        <w:t xml:space="preserve">  </w:t>
      </w:r>
    </w:p>
    <w:p w14:paraId="0E12010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0417-2222229</w:t>
      </w:r>
      <w:r>
        <w:rPr>
          <w:rFonts w:hint="eastAsia" w:ascii="宋体" w:hAnsi="宋体" w:eastAsia="宋体" w:cs="宋体"/>
          <w:color w:val="000000"/>
          <w:sz w:val="24"/>
          <w:szCs w:val="24"/>
          <w:highlight w:val="none"/>
          <w:u w:val="single"/>
          <w:lang w:val="en-US" w:eastAsia="zh-CN"/>
        </w:rPr>
        <w:t xml:space="preserve">      </w:t>
      </w:r>
    </w:p>
    <w:p w14:paraId="309AA54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6A315BE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lang w:val="en-US" w:eastAsia="zh-CN"/>
        </w:rPr>
        <w:fldChar w:fldCharType="begin"/>
      </w:r>
      <w:r>
        <w:rPr>
          <w:rFonts w:hint="eastAsia" w:ascii="宋体" w:hAnsi="宋体" w:eastAsia="宋体" w:cs="宋体"/>
          <w:color w:val="000000"/>
          <w:sz w:val="24"/>
          <w:szCs w:val="24"/>
          <w:highlight w:val="none"/>
          <w:u w:val="single"/>
          <w:lang w:val="en-US" w:eastAsia="zh-CN"/>
        </w:rPr>
        <w:instrText xml:space="preserve"> HYPERLINK "mailto:lngljzb_hj@163.com" </w:instrText>
      </w:r>
      <w:r>
        <w:rPr>
          <w:rFonts w:hint="eastAsia" w:ascii="宋体" w:hAnsi="宋体" w:eastAsia="宋体" w:cs="宋体"/>
          <w:color w:val="000000"/>
          <w:sz w:val="24"/>
          <w:szCs w:val="24"/>
          <w:highlight w:val="none"/>
          <w:u w:val="single"/>
          <w:lang w:val="en-US" w:eastAsia="zh-CN"/>
        </w:rPr>
        <w:fldChar w:fldCharType="separate"/>
      </w:r>
      <w:r>
        <w:rPr>
          <w:rFonts w:hint="eastAsia" w:ascii="宋体" w:hAnsi="宋体" w:cs="宋体"/>
          <w:color w:val="000000"/>
          <w:sz w:val="24"/>
          <w:szCs w:val="24"/>
          <w:highlight w:val="none"/>
          <w:u w:val="single"/>
          <w:lang w:val="en-US" w:eastAsia="zh-CN"/>
        </w:rPr>
        <w:t>yklndy@126.com</w:t>
      </w:r>
      <w:r>
        <w:rPr>
          <w:rFonts w:hint="eastAsia" w:ascii="宋体" w:hAnsi="宋体" w:eastAsia="宋体" w:cs="宋体"/>
          <w:color w:val="000000"/>
          <w:sz w:val="24"/>
          <w:szCs w:val="24"/>
          <w:highlight w:val="none"/>
          <w:u w:val="single"/>
          <w:lang w:val="en-US" w:eastAsia="zh-CN"/>
        </w:rPr>
        <w:fldChar w:fldCharType="end"/>
      </w:r>
      <w:r>
        <w:rPr>
          <w:rFonts w:hint="eastAsia" w:ascii="宋体" w:hAnsi="宋体" w:eastAsia="宋体" w:cs="宋体"/>
          <w:color w:val="000000"/>
          <w:sz w:val="24"/>
          <w:szCs w:val="24"/>
          <w:highlight w:val="none"/>
          <w:u w:val="single"/>
          <w:lang w:val="en-US" w:eastAsia="zh-CN"/>
        </w:rPr>
        <w:t xml:space="preserve">      </w:t>
      </w:r>
    </w:p>
    <w:p w14:paraId="1393B35F">
      <w:pPr>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271D2EA1">
      <w:pPr>
        <w:pageBreakBefore w:val="0"/>
        <w:kinsoku/>
        <w:wordWrap w:val="0"/>
        <w:topLinePunct/>
        <w:bidi w:val="0"/>
        <w:spacing w:line="360" w:lineRule="auto"/>
        <w:ind w:right="0" w:rightChars="0" w:firstLine="4800" w:firstLineChars="2000"/>
        <w:jc w:val="left"/>
        <w:rPr>
          <w:rFonts w:hint="default" w:ascii="Times New Roman" w:hAnsi="Times New Roman" w:eastAsia="黑体" w:cs="Times New Roman"/>
          <w:sz w:val="29"/>
          <w:szCs w:val="29"/>
          <w:highlight w:val="none"/>
        </w:rPr>
      </w:pPr>
      <w:r>
        <w:rPr>
          <w:rFonts w:hint="eastAsia" w:ascii="宋体" w:hAnsi="宋体" w:cs="宋体"/>
          <w:sz w:val="24"/>
          <w:szCs w:val="24"/>
          <w:highlight w:val="none"/>
          <w:u w:val="single"/>
          <w:lang w:val="en-US" w:eastAsia="zh-CN"/>
        </w:rPr>
        <w:t>2026年</w:t>
      </w:r>
      <w:r>
        <w:rPr>
          <w:rFonts w:hint="eastAsia" w:ascii="宋体" w:hAnsi="宋体" w:eastAsia="宋体" w:cs="宋体"/>
          <w:sz w:val="24"/>
          <w:szCs w:val="24"/>
          <w:highlight w:val="non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0D3A1A9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407887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EA036F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CD0AC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41EFE5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280DD8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A05171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1D09C7B">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764B00BF">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第二章  投标人须知</w:t>
      </w:r>
    </w:p>
    <w:p w14:paraId="26F789AE">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4569A271">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07463DAB">
      <w:pPr>
        <w:pageBreakBefore w:val="0"/>
        <w:kinsoku/>
        <w:wordWrap w:val="0"/>
        <w:bidi w:val="0"/>
        <w:spacing w:line="440" w:lineRule="exact"/>
        <w:jc w:val="center"/>
        <w:outlineLvl w:val="0"/>
        <w:rPr>
          <w:rStyle w:val="55"/>
          <w:rFonts w:hint="default" w:ascii="Times New Roman" w:hAnsi="Times New Roman" w:eastAsia="黑体" w:cs="Times New Roman"/>
          <w:sz w:val="42"/>
          <w:szCs w:val="42"/>
          <w:highlight w:val="none"/>
        </w:rPr>
      </w:pPr>
      <w:bookmarkStart w:id="36" w:name="_Toc234832861"/>
      <w:bookmarkStart w:id="37" w:name="_Toc9806"/>
      <w:bookmarkStart w:id="38" w:name="_Toc16934"/>
      <w:r>
        <w:rPr>
          <w:rStyle w:val="55"/>
          <w:rFonts w:hint="default" w:ascii="Times New Roman" w:hAnsi="Times New Roman" w:eastAsia="黑体" w:cs="Times New Roman"/>
          <w:sz w:val="42"/>
          <w:szCs w:val="42"/>
          <w:highlight w:val="none"/>
        </w:rPr>
        <w:t>第二章  投标人须知</w:t>
      </w:r>
      <w:bookmarkEnd w:id="36"/>
      <w:bookmarkEnd w:id="37"/>
      <w:bookmarkEnd w:id="38"/>
    </w:p>
    <w:p w14:paraId="22458F49">
      <w:pPr>
        <w:pStyle w:val="2"/>
        <w:pageBreakBefore w:val="0"/>
        <w:kinsoku/>
        <w:wordWrap w:val="0"/>
        <w:bidi w:val="0"/>
        <w:spacing w:before="240" w:after="240" w:line="240" w:lineRule="atLeast"/>
        <w:rPr>
          <w:rFonts w:hint="default" w:ascii="Times New Roman" w:hAnsi="Times New Roman" w:eastAsia="黑体" w:cs="Times New Roman"/>
          <w:sz w:val="28"/>
          <w:szCs w:val="28"/>
          <w:highlight w:val="none"/>
        </w:rPr>
      </w:pPr>
      <w:bookmarkStart w:id="39" w:name="_Toc29020"/>
      <w:bookmarkStart w:id="40" w:name="_Toc234832862"/>
      <w:bookmarkStart w:id="41" w:name="_Toc25381"/>
      <w:r>
        <w:rPr>
          <w:rFonts w:hint="default" w:ascii="Times New Roman" w:hAnsi="Times New Roman" w:eastAsia="黑体" w:cs="Times New Roman"/>
          <w:sz w:val="28"/>
          <w:szCs w:val="28"/>
          <w:highlight w:val="none"/>
        </w:rPr>
        <w:t>投标人须知前附表</w:t>
      </w:r>
      <w:r>
        <w:rPr>
          <w:rStyle w:val="48"/>
          <w:rFonts w:hint="default" w:ascii="Times New Roman" w:hAnsi="Times New Roman" w:eastAsia="黑体" w:cs="Times New Roman"/>
          <w:sz w:val="28"/>
          <w:szCs w:val="28"/>
          <w:highlight w:val="none"/>
        </w:rPr>
        <w:footnoteReference w:id="1"/>
      </w:r>
      <w:bookmarkEnd w:id="39"/>
      <w:bookmarkEnd w:id="40"/>
      <w:bookmarkEnd w:id="41"/>
    </w:p>
    <w:tbl>
      <w:tblPr>
        <w:tblStyle w:val="40"/>
        <w:tblW w:w="0" w:type="auto"/>
        <w:tblInd w:w="0" w:type="dxa"/>
        <w:tblLayout w:type="fixed"/>
        <w:tblCellMar>
          <w:top w:w="0" w:type="dxa"/>
          <w:left w:w="108" w:type="dxa"/>
          <w:bottom w:w="0" w:type="dxa"/>
          <w:right w:w="108" w:type="dxa"/>
        </w:tblCellMar>
      </w:tblPr>
      <w:tblGrid>
        <w:gridCol w:w="1036"/>
        <w:gridCol w:w="2953"/>
        <w:gridCol w:w="5015"/>
      </w:tblGrid>
      <w:tr w14:paraId="08F8010A">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ADE0D92">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条款号</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6924F1">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  款  名  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1C77E">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编  列  内  容</w:t>
            </w:r>
          </w:p>
        </w:tc>
      </w:tr>
      <w:tr w14:paraId="3FC66A3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A4590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2A1499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F58EDA7">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5E5DAC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83B12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DE9811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招标代理机构</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25E7A4A">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D5B9C5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73228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5DE4B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招标项目名称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08C92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0055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CCF0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64B7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标段建设地点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ABEF7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454FE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8D45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03FBC1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资金来源及比例</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904BD3F">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BF3C66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E4CA1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E47D6E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资金落实情况</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3F23159">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4732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CF1FD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23CE6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招标范围</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7707C8">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6BE2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214E1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D07AE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计划工期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D03D1D">
            <w:pPr>
              <w:spacing w:line="400" w:lineRule="exac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21341B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5D363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0B49C8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652800">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标段工程交工验收的质量评定：</w:t>
            </w:r>
            <w:r>
              <w:rPr>
                <w:rFonts w:hint="default" w:ascii="Times New Roman" w:hAnsi="Times New Roman" w:cs="Times New Roman"/>
                <w:sz w:val="24"/>
                <w:szCs w:val="24"/>
                <w:highlight w:val="none"/>
                <w:u w:val="single"/>
              </w:rPr>
              <w:t xml:space="preserve">合格  </w:t>
            </w:r>
          </w:p>
          <w:p w14:paraId="3E0D1B8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竣工验收的质量评定：</w:t>
            </w:r>
            <w:r>
              <w:rPr>
                <w:rFonts w:hint="default" w:ascii="Times New Roman" w:hAnsi="Times New Roman" w:cs="Times New Roman"/>
                <w:sz w:val="24"/>
                <w:szCs w:val="24"/>
                <w:highlight w:val="none"/>
                <w:u w:val="single"/>
              </w:rPr>
              <w:t xml:space="preserve">合格  </w:t>
            </w:r>
          </w:p>
        </w:tc>
      </w:tr>
      <w:tr w14:paraId="7515967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B15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bCs/>
                <w:sz w:val="24"/>
                <w:szCs w:val="24"/>
                <w:highlight w:val="none"/>
              </w:rPr>
              <w:t>1.3.4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85E06C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安全目标</w:t>
            </w:r>
            <w:r>
              <w:rPr>
                <w:rStyle w:val="48"/>
                <w:rFonts w:hint="default" w:ascii="Times New Roman" w:hAnsi="Times New Roman" w:eastAsia="黑体" w:cs="Times New Roman"/>
                <w:sz w:val="24"/>
                <w:szCs w:val="24"/>
                <w:highlight w:val="none"/>
              </w:rPr>
              <w:footnoteReference w:id="2"/>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817854B">
            <w:pPr>
              <w:pStyle w:val="15"/>
              <w:pageBreakBefore w:val="0"/>
              <w:numPr>
                <w:ilvl w:val="0"/>
                <w:numId w:val="2"/>
              </w:numPr>
              <w:kinsoku/>
              <w:wordWrap w:val="0"/>
              <w:topLinePunct/>
              <w:bidi w:val="0"/>
              <w:spacing w:line="360" w:lineRule="atLeast"/>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安全生产“零死亡”；</w:t>
            </w:r>
          </w:p>
          <w:p w14:paraId="5818D1E5">
            <w:pPr>
              <w:pStyle w:val="15"/>
              <w:pageBreakBefore w:val="0"/>
              <w:numPr>
                <w:ilvl w:val="0"/>
                <w:numId w:val="2"/>
              </w:numPr>
              <w:kinsoku/>
              <w:wordWrap w:val="0"/>
              <w:topLinePunct/>
              <w:bidi w:val="0"/>
              <w:spacing w:line="360" w:lineRule="atLeast"/>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其他：</w:t>
            </w:r>
            <w:r>
              <w:rPr>
                <w:rFonts w:hint="eastAsia" w:ascii="Times New Roman" w:cs="Times New Roman"/>
                <w:sz w:val="24"/>
                <w:szCs w:val="24"/>
                <w:highlight w:val="none"/>
                <w:u w:val="single"/>
                <w:lang w:val="en-US" w:eastAsia="zh-CN"/>
              </w:rPr>
              <w:t xml:space="preserve">    /        </w:t>
            </w:r>
          </w:p>
        </w:tc>
      </w:tr>
      <w:tr w14:paraId="29DA41F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F6C5F8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186C92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投标人资质条件、能力和信誉</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F8337E">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资质要求：见</w:t>
            </w:r>
            <w:r>
              <w:rPr>
                <w:rFonts w:hint="default" w:ascii="Times New Roman" w:hAnsi="Times New Roman" w:eastAsia="黑体" w:cs="Times New Roman"/>
                <w:sz w:val="24"/>
                <w:szCs w:val="24"/>
                <w:highlight w:val="none"/>
              </w:rPr>
              <w:t>附录1</w:t>
            </w:r>
          </w:p>
          <w:p w14:paraId="3A4CC9C7">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财务要求：见</w:t>
            </w:r>
            <w:r>
              <w:rPr>
                <w:rFonts w:hint="default" w:ascii="Times New Roman" w:hAnsi="Times New Roman" w:eastAsia="黑体" w:cs="Times New Roman"/>
                <w:sz w:val="24"/>
                <w:szCs w:val="24"/>
                <w:highlight w:val="none"/>
              </w:rPr>
              <w:t>附录2</w:t>
            </w:r>
          </w:p>
          <w:p w14:paraId="6B67E70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业绩要求：见</w:t>
            </w:r>
            <w:r>
              <w:rPr>
                <w:rFonts w:hint="default" w:ascii="Times New Roman" w:hAnsi="Times New Roman" w:eastAsia="黑体" w:cs="Times New Roman"/>
                <w:sz w:val="24"/>
                <w:szCs w:val="24"/>
                <w:highlight w:val="none"/>
              </w:rPr>
              <w:t>附录3</w:t>
            </w:r>
          </w:p>
          <w:p w14:paraId="5C49EF93">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信誉要求：见</w:t>
            </w:r>
            <w:r>
              <w:rPr>
                <w:rFonts w:hint="default" w:ascii="Times New Roman" w:hAnsi="Times New Roman" w:eastAsia="黑体" w:cs="Times New Roman"/>
                <w:sz w:val="24"/>
                <w:szCs w:val="24"/>
                <w:highlight w:val="none"/>
              </w:rPr>
              <w:t>附录4</w:t>
            </w:r>
          </w:p>
          <w:p w14:paraId="7F89BF4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项目经理和项目总工资格：见</w:t>
            </w:r>
            <w:r>
              <w:rPr>
                <w:rFonts w:hint="default" w:ascii="Times New Roman" w:hAnsi="Times New Roman" w:eastAsia="黑体" w:cs="Times New Roman"/>
                <w:sz w:val="24"/>
                <w:szCs w:val="24"/>
                <w:highlight w:val="none"/>
              </w:rPr>
              <w:t>附录5</w:t>
            </w:r>
          </w:p>
          <w:p w14:paraId="0A00B030">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其他要求：</w:t>
            </w:r>
            <w:r>
              <w:rPr>
                <w:rStyle w:val="48"/>
                <w:rFonts w:hint="default" w:ascii="Times New Roman" w:hAnsi="Times New Roman" w:eastAsia="黑体" w:cs="Times New Roman"/>
                <w:sz w:val="24"/>
                <w:szCs w:val="24"/>
                <w:highlight w:val="none"/>
              </w:rPr>
              <w:footnoteReference w:id="3"/>
            </w:r>
          </w:p>
        </w:tc>
      </w:tr>
      <w:tr w14:paraId="6691941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D6DAA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553A12E">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sz w:val="24"/>
                <w:szCs w:val="24"/>
                <w:highlight w:val="none"/>
              </w:rPr>
              <w:t>是否接受联合体投标</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797FB73">
            <w:pPr>
              <w:pageBreakBefore w:val="0"/>
              <w:kinsoku/>
              <w:wordWrap w:val="0"/>
              <w:topLinePunct/>
              <w:bidi w:val="0"/>
              <w:spacing w:line="440" w:lineRule="exact"/>
              <w:rPr>
                <w:rFonts w:hint="default" w:ascii="Times New Roman" w:hAnsi="Times New Roman" w:cs="Times New Roman"/>
                <w:color w:val="000000"/>
                <w:sz w:val="24"/>
                <w:szCs w:val="24"/>
                <w:highlight w:val="none"/>
              </w:rPr>
            </w:pPr>
            <w:r>
              <w:rPr>
                <w:rFonts w:hint="eastAsia" w:cs="Times New Roman"/>
                <w:color w:val="000000"/>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color w:val="000000"/>
                <w:sz w:val="24"/>
                <w:szCs w:val="24"/>
                <w:highlight w:val="none"/>
              </w:rPr>
              <w:t>不</w:t>
            </w:r>
            <w:r>
              <w:rPr>
                <w:rFonts w:hint="default" w:ascii="Times New Roman" w:hAnsi="Times New Roman" w:cs="Times New Roman"/>
                <w:sz w:val="24"/>
                <w:szCs w:val="24"/>
                <w:highlight w:val="none"/>
              </w:rPr>
              <w:t>接受</w:t>
            </w:r>
          </w:p>
          <w:p w14:paraId="2CF8A7C4">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sz w:val="24"/>
                <w:szCs w:val="24"/>
                <w:highlight w:val="none"/>
              </w:rPr>
              <w:t>接受，应满足下列要求：</w:t>
            </w:r>
          </w:p>
        </w:tc>
      </w:tr>
      <w:tr w14:paraId="0CDDED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05986D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ED54C7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投标人不得存在的其他关联情形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1581A94">
            <w:pPr>
              <w:pageBreakBefore w:val="0"/>
              <w:kinsoku/>
              <w:wordWrap w:val="0"/>
              <w:bidi w:val="0"/>
              <w:spacing w:line="360" w:lineRule="atLeas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与招标人存在利害关系可能影响招标公正性的单位，不得参加投标。单位负责人为同一人或存在控股、管理关系的不同单位，不得参加同一标段投标，否则相关投标均无效。</w:t>
            </w:r>
          </w:p>
        </w:tc>
      </w:tr>
      <w:tr w14:paraId="7B99F82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C13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36FE7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投标人不得存在的其他不良状况或不良信用记录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74C0604">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18516542">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10C7B0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1.10.2</w:t>
            </w:r>
          </w:p>
        </w:tc>
        <w:tc>
          <w:tcPr>
            <w:tcW w:w="2953" w:type="dxa"/>
            <w:vMerge w:val="restart"/>
            <w:tcBorders>
              <w:top w:val="single" w:color="auto" w:sz="4" w:space="0"/>
              <w:left w:val="single" w:color="auto" w:sz="4" w:space="0"/>
              <w:right w:val="single" w:color="auto" w:sz="4" w:space="0"/>
            </w:tcBorders>
            <w:noWrap w:val="0"/>
            <w:vAlign w:val="center"/>
          </w:tcPr>
          <w:p w14:paraId="698323E4">
            <w:pPr>
              <w:pageBreakBefore w:val="0"/>
              <w:kinsoku/>
              <w:wordWrap w:val="0"/>
              <w:bidi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FD5A2A">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1481D23E">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722CEB80">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6FD464B7">
            <w:pPr>
              <w:pageBreakBefore w:val="0"/>
              <w:kinsoku/>
              <w:wordWrap w:val="0"/>
              <w:bidi w:val="0"/>
              <w:spacing w:line="360" w:lineRule="atLeast"/>
              <w:jc w:val="center"/>
              <w:rPr>
                <w:rFonts w:hint="default" w:ascii="Times New Roman" w:hAnsi="Times New Roman" w:cs="Times New Roman"/>
                <w:color w:val="auto"/>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AA4C7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29E9E1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3B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98739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分  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352D4D8">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不允许</w:t>
            </w:r>
          </w:p>
          <w:p w14:paraId="0CBD9E86">
            <w:pPr>
              <w:pStyle w:val="14"/>
              <w:pageBreakBefore w:val="0"/>
              <w:kinsoku/>
              <w:wordWrap w:val="0"/>
              <w:bidi w:val="0"/>
              <w:spacing w:line="360" w:lineRule="atLeast"/>
              <w:ind w:left="160" w:hanging="120" w:hanging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□允许，允许分包的专项工程（或不允许分包的专项工程）：</w:t>
            </w:r>
            <w:r>
              <w:rPr>
                <w:rFonts w:hint="default" w:ascii="Times New Roman" w:hAnsi="Times New Roman" w:cs="Times New Roman"/>
                <w:sz w:val="24"/>
                <w:szCs w:val="24"/>
                <w:highlight w:val="none"/>
                <w:u w:val="single"/>
              </w:rPr>
              <w:t xml:space="preserve">         </w:t>
            </w:r>
          </w:p>
          <w:p w14:paraId="700ADA80">
            <w:pPr>
              <w:pStyle w:val="14"/>
              <w:pageBreakBefore w:val="0"/>
              <w:kinsoku/>
              <w:wordWrap w:val="0"/>
              <w:bidi w:val="0"/>
              <w:spacing w:line="360" w:lineRule="atLeast"/>
              <w:ind w:firstLine="120" w:firstLine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对分包人的资格要求：</w:t>
            </w:r>
            <w:r>
              <w:rPr>
                <w:rFonts w:hint="default" w:ascii="Times New Roman" w:hAnsi="Times New Roman" w:cs="Times New Roman"/>
                <w:sz w:val="24"/>
                <w:szCs w:val="24"/>
                <w:highlight w:val="none"/>
                <w:u w:val="single"/>
              </w:rPr>
              <w:t xml:space="preserve">         </w:t>
            </w:r>
          </w:p>
        </w:tc>
      </w:tr>
      <w:tr w14:paraId="7A057D4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5409C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8EE3D10">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FF2F33B">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11CD8B3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5FAA162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2.2.1</w:t>
            </w:r>
          </w:p>
        </w:tc>
        <w:tc>
          <w:tcPr>
            <w:tcW w:w="2953" w:type="dxa"/>
            <w:vMerge w:val="restart"/>
            <w:tcBorders>
              <w:top w:val="single" w:color="auto" w:sz="4" w:space="0"/>
              <w:left w:val="single" w:color="auto" w:sz="4" w:space="0"/>
              <w:right w:val="single" w:color="auto" w:sz="4" w:space="0"/>
            </w:tcBorders>
            <w:noWrap w:val="0"/>
            <w:vAlign w:val="center"/>
          </w:tcPr>
          <w:p w14:paraId="204DBF72">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投标人要求澄清招标文件</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6D0D3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时间：递交投标文件截止之日</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10</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天前（以发出时间为准）</w:t>
            </w:r>
          </w:p>
        </w:tc>
      </w:tr>
      <w:tr w14:paraId="4255CC1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1D2EBD4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1046CF1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B122D0">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3BE7EC1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8A72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F083D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招标文件澄清发出的形式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4A9B5E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发出招标文件澄清</w:t>
            </w:r>
          </w:p>
        </w:tc>
      </w:tr>
      <w:tr w14:paraId="4BCC5F14">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54C96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2.2.3</w:t>
            </w:r>
          </w:p>
        </w:tc>
        <w:tc>
          <w:tcPr>
            <w:tcW w:w="2953" w:type="dxa"/>
            <w:tcBorders>
              <w:top w:val="single" w:color="auto" w:sz="4" w:space="0"/>
              <w:left w:val="single" w:color="auto" w:sz="4" w:space="0"/>
              <w:right w:val="single" w:color="auto" w:sz="4" w:space="0"/>
            </w:tcBorders>
            <w:noWrap w:val="0"/>
            <w:vAlign w:val="center"/>
          </w:tcPr>
          <w:p w14:paraId="73141398">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投标人确认收到招标文件澄清</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8E9C5C7">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澄清</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1ADC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B5F00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F64B048">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招标文件修改发出的形式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09FD442">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w:t>
            </w:r>
            <w:r>
              <w:rPr>
                <w:rFonts w:hint="default" w:ascii="Times New Roman" w:hAnsi="Times New Roman" w:cs="Times New Roman"/>
                <w:color w:val="000000"/>
                <w:sz w:val="24"/>
                <w:szCs w:val="24"/>
                <w:highlight w:val="none"/>
                <w:lang w:val="en-US" w:eastAsia="zh-CN"/>
              </w:rPr>
              <w:t>修改</w:t>
            </w:r>
          </w:p>
        </w:tc>
      </w:tr>
      <w:tr w14:paraId="0295C390">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7D1DA6D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2.3.2</w:t>
            </w:r>
          </w:p>
        </w:tc>
        <w:tc>
          <w:tcPr>
            <w:tcW w:w="2953" w:type="dxa"/>
            <w:tcBorders>
              <w:top w:val="single" w:color="auto" w:sz="4" w:space="0"/>
              <w:left w:val="single" w:color="auto" w:sz="4" w:space="0"/>
              <w:right w:val="single" w:color="auto" w:sz="4" w:space="0"/>
            </w:tcBorders>
            <w:noWrap w:val="0"/>
            <w:vAlign w:val="center"/>
          </w:tcPr>
          <w:p w14:paraId="1553B9CE">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投标人确认收到招标文件修改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7C26E7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6FD99A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FF60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AB2EDA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构成投标文件的其他资料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2CE8D2">
            <w:pPr>
              <w:pageBreakBefore w:val="0"/>
              <w:kinsoku/>
              <w:wordWrap w:val="0"/>
              <w:bidi w:val="0"/>
              <w:spacing w:line="360" w:lineRule="atLeast"/>
              <w:rPr>
                <w:rFonts w:hint="default" w:ascii="Times New Roman" w:hAnsi="Times New Roman" w:cs="Times New Roman"/>
                <w:sz w:val="24"/>
                <w:szCs w:val="24"/>
                <w:highlight w:val="none"/>
              </w:rPr>
            </w:pPr>
          </w:p>
        </w:tc>
      </w:tr>
      <w:tr w14:paraId="4EC87D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F7B2A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65DDC1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增值税税金的计算方法</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53C820">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16449711"/>
                <w14:checkbox>
                  <w14:checked w14:val="1"/>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Wingdings 2" w:hAnsi="Wingdings 2" w:eastAsia="宋体" w:cs="宋体"/>
                    <w:b/>
                    <w:bCs/>
                    <w:color w:val="auto"/>
                    <w:kern w:val="2"/>
                    <w:sz w:val="24"/>
                    <w:szCs w:val="24"/>
                    <w:highlight w:val="none"/>
                    <w:shd w:val="clear" w:color="auto" w:fill="FFFFFF"/>
                    <w:lang w:val="en-US" w:eastAsia="zh-CN" w:bidi="ar-SA"/>
                  </w:rPr>
                  <w:t>R</w:t>
                </w:r>
              </w:sdtContent>
            </w:sdt>
            <w:r>
              <w:rPr>
                <w:rFonts w:hint="eastAsia" w:ascii="宋体" w:hAnsi="宋体" w:eastAsia="宋体" w:cs="宋体"/>
                <w:color w:val="auto"/>
                <w:sz w:val="24"/>
                <w:szCs w:val="24"/>
                <w:highlight w:val="none"/>
              </w:rPr>
              <w:t xml:space="preserve"> 一般计税法</w:t>
            </w:r>
          </w:p>
          <w:p w14:paraId="767B0DF3">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62691559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简易计税法</w:t>
            </w:r>
          </w:p>
          <w:p w14:paraId="34A7D6CA">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37040858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扣缴计税法</w:t>
            </w:r>
          </w:p>
          <w:p w14:paraId="2F9BE34D">
            <w:pPr>
              <w:pageBreakBefore w:val="0"/>
              <w:kinsoku/>
              <w:wordWrap w:val="0"/>
              <w:bidi w:val="0"/>
              <w:spacing w:line="360" w:lineRule="atLeast"/>
              <w:ind w:left="460" w:hanging="482" w:hangingChars="200"/>
              <w:rPr>
                <w:rFonts w:hint="default" w:ascii="Times New Roman" w:hAnsi="Times New Roman" w:cs="Times New Roman"/>
                <w:spacing w:val="10"/>
                <w:sz w:val="24"/>
                <w:szCs w:val="24"/>
                <w:highlight w:val="none"/>
                <w:bdr w:val="single" w:color="auto" w:sz="4" w:space="0"/>
              </w:rPr>
            </w:pPr>
            <w:sdt>
              <w:sdtPr>
                <w:rPr>
                  <w:rFonts w:hint="eastAsia" w:ascii="宋体" w:hAnsi="宋体" w:eastAsia="宋体" w:cs="宋体"/>
                  <w:b/>
                  <w:bCs/>
                  <w:color w:val="auto"/>
                  <w:sz w:val="24"/>
                  <w:szCs w:val="24"/>
                  <w:highlight w:val="none"/>
                  <w:shd w:val="clear" w:color="auto" w:fill="FFFFFF"/>
                </w:rPr>
                <w:id w:val="-167788121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计税法</w:t>
            </w:r>
          </w:p>
        </w:tc>
      </w:tr>
      <w:tr w14:paraId="30C4C2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4B7E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85E6DB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工程量清单的填写方式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D8580D">
            <w:pPr>
              <w:pageBreakBefore w:val="0"/>
              <w:kinsoku/>
              <w:wordWrap w:val="0"/>
              <w:bidi w:val="0"/>
              <w:spacing w:line="360" w:lineRule="atLeast"/>
              <w:ind w:left="160" w:hanging="120" w:hangingChars="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投标人按照招标人提供的</w:t>
            </w:r>
            <w:r>
              <w:rPr>
                <w:rFonts w:hint="eastAsia" w:cs="Times New Roman"/>
                <w:sz w:val="24"/>
                <w:szCs w:val="24"/>
                <w:highlight w:val="none"/>
                <w:lang w:eastAsia="zh-CN"/>
              </w:rPr>
              <w:t>工程量清单</w:t>
            </w:r>
            <w:r>
              <w:rPr>
                <w:rFonts w:hint="default" w:ascii="Times New Roman" w:hAnsi="Times New Roman" w:cs="Times New Roman"/>
                <w:sz w:val="24"/>
                <w:szCs w:val="24"/>
                <w:highlight w:val="none"/>
              </w:rPr>
              <w:t>电子文件填写工程量清单，下载网站：</w:t>
            </w:r>
            <w:r>
              <w:rPr>
                <w:rFonts w:hint="default" w:ascii="Times New Roman" w:hAnsi="Times New Roman" w:cs="Times New Roman"/>
                <w:sz w:val="24"/>
                <w:szCs w:val="24"/>
                <w:highlight w:val="none"/>
                <w:u w:val="single"/>
              </w:rPr>
              <w:t xml:space="preserve"> 通过</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电子交易平台</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发出</w:t>
            </w:r>
          </w:p>
        </w:tc>
      </w:tr>
      <w:tr w14:paraId="64C45E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B6554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BCAD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报价方式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E1EC013">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□单价</w:t>
            </w:r>
          </w:p>
          <w:p w14:paraId="06D9899F">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总价</w:t>
            </w:r>
          </w:p>
        </w:tc>
      </w:tr>
      <w:tr w14:paraId="40D24D7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EE2B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A130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是否接受调价函</w:t>
            </w:r>
            <w:r>
              <w:rPr>
                <w:rStyle w:val="48"/>
                <w:rFonts w:hint="default" w:ascii="Times New Roman" w:hAnsi="Times New Roman" w:cs="Times New Roman"/>
                <w:sz w:val="24"/>
                <w:szCs w:val="24"/>
                <w:highlight w:val="none"/>
              </w:rPr>
              <w:footnoteReference w:id="4"/>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B9D2E6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w:t>
            </w:r>
          </w:p>
          <w:p w14:paraId="58A995A7">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6FE761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ED1275F">
            <w:pPr>
              <w:pageBreakBefore w:val="0"/>
              <w:kinsoku/>
              <w:wordWrap w:val="0"/>
              <w:bidi w:val="0"/>
              <w:spacing w:line="360" w:lineRule="atLeast"/>
              <w:jc w:val="center"/>
              <w:rPr>
                <w:rFonts w:hint="eastAsia"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rPr>
              <w:t>3.2.</w:t>
            </w:r>
            <w:r>
              <w:rPr>
                <w:rFonts w:hint="eastAsia" w:cs="Times New Roman"/>
                <w:sz w:val="24"/>
                <w:szCs w:val="24"/>
                <w:highlight w:val="none"/>
                <w:lang w:val="en-US" w:eastAsia="zh-CN"/>
              </w:rPr>
              <w:t>7</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076BA54">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最高投标限价</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DF720EC">
            <w:pPr>
              <w:pageBreakBefore w:val="0"/>
              <w:kinsoku/>
              <w:wordWrap w:val="0"/>
              <w:bidi w:val="0"/>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□无</w:t>
            </w:r>
          </w:p>
          <w:p w14:paraId="0FB8A155">
            <w:pPr>
              <w:spacing w:line="440" w:lineRule="exact"/>
              <w:rPr>
                <w:rFonts w:hint="default" w:ascii="Times New Roman" w:hAnsi="Times New Roman" w:eastAsia="宋体" w:cs="Times New Roman"/>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有</w:t>
            </w:r>
            <w:r>
              <w:rPr>
                <w:rFonts w:hint="default" w:ascii="Times New Roman" w:hAnsi="Times New Roman" w:cs="Times New Roman"/>
                <w:sz w:val="24"/>
                <w:szCs w:val="24"/>
                <w:highlight w:val="none"/>
              </w:rPr>
              <w:t>，最高投标限价：</w:t>
            </w:r>
            <w:r>
              <w:rPr>
                <w:rFonts w:hint="default" w:ascii="Times New Roman" w:hAnsi="Times New Roman" w:cs="Times New Roman"/>
                <w:sz w:val="24"/>
                <w:szCs w:val="24"/>
                <w:highlight w:val="none"/>
                <w:u w:val="single"/>
                <w:lang w:val="en-US" w:eastAsia="zh-CN"/>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元（其中含</w:t>
            </w:r>
            <w:r>
              <w:rPr>
                <w:rFonts w:hint="eastAsia" w:cs="Times New Roman"/>
                <w:sz w:val="24"/>
                <w:szCs w:val="24"/>
                <w:highlight w:val="none"/>
                <w:lang w:val="en-US" w:eastAsia="zh-CN"/>
              </w:rPr>
              <w:t>暂列金额</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w:t>
            </w:r>
            <w:r>
              <w:rPr>
                <w:rFonts w:hint="default" w:ascii="Times New Roman" w:hAnsi="Times New Roman" w:cs="Times New Roman"/>
                <w:sz w:val="24"/>
                <w:szCs w:val="24"/>
                <w:highlight w:val="none"/>
                <w:lang w:eastAsia="zh-CN"/>
              </w:rPr>
              <w:t>）</w:t>
            </w:r>
            <w:r>
              <w:rPr>
                <w:rFonts w:hint="eastAsia" w:cs="Times New Roman"/>
                <w:sz w:val="24"/>
                <w:szCs w:val="24"/>
                <w:highlight w:val="none"/>
                <w:lang w:val="en-US" w:eastAsia="zh-CN"/>
              </w:rPr>
              <w:t>(含税)</w:t>
            </w:r>
          </w:p>
        </w:tc>
      </w:tr>
      <w:tr w14:paraId="1520FB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BD1618">
            <w:pPr>
              <w:pageBreakBefore w:val="0"/>
              <w:kinsoku/>
              <w:wordWrap w:val="0"/>
              <w:bidi w:val="0"/>
              <w:spacing w:line="360" w:lineRule="atLeast"/>
              <w:jc w:val="center"/>
              <w:rPr>
                <w:rFonts w:hint="eastAsia"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rPr>
              <w:t>3.2.</w:t>
            </w:r>
            <w:r>
              <w:rPr>
                <w:rFonts w:hint="eastAsia" w:cs="Times New Roman"/>
                <w:sz w:val="24"/>
                <w:szCs w:val="24"/>
                <w:highlight w:val="none"/>
                <w:lang w:val="en-US" w:eastAsia="zh-CN"/>
              </w:rPr>
              <w:t>8</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9115EE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投标报价的其他要求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B0F4B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详见本投标人须知前附表中补充的其他内容及工程量清单编制说明</w:t>
            </w:r>
          </w:p>
        </w:tc>
      </w:tr>
      <w:tr w14:paraId="3EA66FB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6F0323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5DD7B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投标有效期</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E2920E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自投标人提交投标文件截止之日起计算</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90</w:t>
            </w:r>
            <w:r>
              <w:rPr>
                <w:rFonts w:hint="default" w:ascii="Times New Roman" w:hAnsi="Times New Roman" w:cs="Times New Roman"/>
                <w:sz w:val="24"/>
                <w:szCs w:val="24"/>
                <w:highlight w:val="none"/>
              </w:rPr>
              <w:t>日</w:t>
            </w:r>
          </w:p>
        </w:tc>
      </w:tr>
      <w:tr w14:paraId="248569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6A3C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212298">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4C4AFD1">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w:t>
            </w:r>
            <w:r>
              <w:rPr>
                <w:rFonts w:hint="default" w:ascii="Times New Roman" w:hAnsi="Times New Roman" w:cs="Times New Roman"/>
                <w:sz w:val="24"/>
                <w:szCs w:val="24"/>
                <w:highlight w:val="none"/>
              </w:rPr>
              <w:t>否要求投标人递交投标保证金：</w:t>
            </w:r>
          </w:p>
          <w:p w14:paraId="191956FC">
            <w:pPr>
              <w:pStyle w:val="15"/>
              <w:topLinePunct/>
              <w:spacing w:line="360" w:lineRule="atLeast"/>
              <w:rPr>
                <w:rFonts w:hint="default" w:ascii="Times New Roman" w:hAnsi="Times New Roman" w:cs="Times New Roman"/>
                <w:sz w:val="24"/>
                <w:szCs w:val="24"/>
                <w:highlight w:val="none"/>
                <w:lang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w:t>
            </w:r>
          </w:p>
          <w:p w14:paraId="4F13BD35">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投标保证金的金额：</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6000  元</w:t>
            </w:r>
            <w:r>
              <w:rPr>
                <w:rFonts w:hint="default" w:ascii="Times New Roman" w:hAnsi="Times New Roman" w:cs="Times New Roman"/>
                <w:sz w:val="24"/>
                <w:szCs w:val="24"/>
                <w:highlight w:val="none"/>
                <w:u w:val="single"/>
              </w:rPr>
              <w:t xml:space="preserve"> </w:t>
            </w:r>
            <w:r>
              <w:rPr>
                <w:rStyle w:val="48"/>
                <w:rFonts w:hint="default" w:ascii="Times New Roman" w:hAnsi="Times New Roman" w:cs="Times New Roman"/>
                <w:sz w:val="24"/>
                <w:szCs w:val="24"/>
                <w:highlight w:val="none"/>
              </w:rPr>
              <w:footnoteReference w:id="5"/>
            </w:r>
            <w:r>
              <w:rPr>
                <w:rFonts w:hint="default" w:ascii="Times New Roman" w:hAnsi="Times New Roman" w:cs="Times New Roman"/>
                <w:sz w:val="24"/>
                <w:szCs w:val="24"/>
                <w:highlight w:val="none"/>
              </w:rPr>
              <w:t xml:space="preserve"> </w:t>
            </w:r>
          </w:p>
          <w:p w14:paraId="5FDA1070">
            <w:pPr>
              <w:pStyle w:val="15"/>
              <w:topLinePunct/>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形式</w:t>
            </w:r>
            <w:r>
              <w:rPr>
                <w:rStyle w:val="48"/>
                <w:rFonts w:hint="default" w:ascii="Times New Roman" w:hAnsi="Times New Roman" w:cs="Times New Roman"/>
                <w:sz w:val="24"/>
                <w:szCs w:val="24"/>
                <w:highlight w:val="none"/>
              </w:rPr>
              <w:footnoteReference w:id="6"/>
            </w:r>
          </w:p>
          <w:p w14:paraId="3E07AC46">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采用现金（银行电汇或网银转账或转账支票）形式</w:t>
            </w:r>
            <w:r>
              <w:rPr>
                <w:rFonts w:hint="default" w:ascii="Times New Roman" w:hAnsi="Times New Roman" w:cs="Times New Roman"/>
                <w:sz w:val="24"/>
                <w:szCs w:val="24"/>
                <w:highlight w:val="none"/>
              </w:rPr>
              <w:t>：</w:t>
            </w:r>
          </w:p>
          <w:p w14:paraId="118603F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eastAsia="黑体" w:cs="Times New Roman"/>
                <w:bCs/>
                <w:i/>
                <w:iCs/>
                <w:sz w:val="24"/>
                <w:szCs w:val="24"/>
                <w:highlight w:val="none"/>
              </w:rPr>
            </w:pPr>
            <w:r>
              <w:rPr>
                <w:rFonts w:hint="default" w:ascii="Times New Roman" w:hAnsi="Times New Roman" w:cs="Times New Roman"/>
                <w:sz w:val="24"/>
                <w:szCs w:val="24"/>
                <w:highlight w:val="none"/>
              </w:rPr>
              <w:t>招标人指定的开户银行及账号如下：</w:t>
            </w:r>
          </w:p>
          <w:p w14:paraId="6D526367">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账户名称：</w:t>
            </w:r>
            <w:r>
              <w:rPr>
                <w:rFonts w:hint="default" w:ascii="Times New Roman" w:hAnsi="Times New Roman" w:cs="Times New Roman"/>
                <w:sz w:val="24"/>
                <w:szCs w:val="24"/>
                <w:highlight w:val="none"/>
                <w:u w:val="single"/>
              </w:rPr>
              <w:t xml:space="preserve"> </w:t>
            </w:r>
            <w:r>
              <w:rPr>
                <w:rFonts w:hint="eastAsia" w:ascii="宋体" w:hAnsi="宋体" w:cs="宋体"/>
                <w:spacing w:val="9"/>
                <w:sz w:val="23"/>
                <w:szCs w:val="23"/>
                <w:highlight w:val="none"/>
                <w:u w:val="single" w:color="auto"/>
                <w:lang w:eastAsia="zh-CN"/>
              </w:rPr>
              <w:t>辽宁鼎域咨询有限公司</w:t>
            </w:r>
            <w:r>
              <w:rPr>
                <w:rFonts w:hint="default" w:ascii="Times New Roman" w:hAnsi="Times New Roman" w:cs="Times New Roman"/>
                <w:sz w:val="24"/>
                <w:szCs w:val="24"/>
                <w:highlight w:val="none"/>
                <w:u w:val="single"/>
              </w:rPr>
              <w:t xml:space="preserve">   </w:t>
            </w:r>
          </w:p>
          <w:p w14:paraId="4FE4078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中国工商银行股份有限公司营口站前支行 </w:t>
            </w:r>
          </w:p>
          <w:p w14:paraId="479FF359">
            <w:pPr>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账    号：0709000309200567475</w:t>
            </w:r>
            <w:r>
              <w:rPr>
                <w:rFonts w:hint="default" w:ascii="Times New Roman" w:hAnsi="Times New Roman" w:cs="Times New Roman"/>
                <w:sz w:val="24"/>
                <w:szCs w:val="24"/>
                <w:highlight w:val="none"/>
                <w:u w:val="single"/>
              </w:rPr>
              <w:t xml:space="preserve">  </w:t>
            </w:r>
          </w:p>
          <w:p w14:paraId="1A4E87FF">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为确保在</w:t>
            </w:r>
            <w:r>
              <w:rPr>
                <w:rFonts w:hint="default" w:ascii="Times New Roman" w:hAnsi="Times New Roman" w:cs="Times New Roman"/>
                <w:sz w:val="24"/>
                <w:szCs w:val="24"/>
                <w:highlight w:val="none"/>
                <w:lang w:val="en-US" w:eastAsia="zh-CN"/>
              </w:rPr>
              <w:t>规定</w:t>
            </w:r>
            <w:r>
              <w:rPr>
                <w:rFonts w:hint="default" w:ascii="Times New Roman" w:hAnsi="Times New Roman" w:cs="Times New Roman"/>
                <w:sz w:val="24"/>
                <w:szCs w:val="24"/>
                <w:highlight w:val="none"/>
              </w:rPr>
              <w:t>时间前投标保证金能到达招标人指定账户，投标人在汇款时须充分考虑银行汇款的时间误差风险，否则所造成的后果由投标人自负。</w:t>
            </w:r>
          </w:p>
          <w:p w14:paraId="7E7DD836">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pacing w:val="-8"/>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pacing w:val="-8"/>
                <w:sz w:val="24"/>
                <w:szCs w:val="24"/>
                <w:highlight w:val="none"/>
              </w:rPr>
              <w:t>采用保函</w:t>
            </w:r>
            <w:r>
              <w:rPr>
                <w:rFonts w:hint="default" w:ascii="Times New Roman" w:hAnsi="Times New Roman" w:cs="Times New Roman"/>
                <w:spacing w:val="-8"/>
                <w:sz w:val="24"/>
                <w:szCs w:val="24"/>
                <w:highlight w:val="none"/>
                <w:lang w:val="en-US" w:eastAsia="zh-CN"/>
              </w:rPr>
              <w:t>形式：</w:t>
            </w:r>
          </w:p>
          <w:p w14:paraId="118048AC">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eastAsia"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出具保函的级别：</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rPr>
              <w:t xml:space="preserve"> </w:t>
            </w:r>
          </w:p>
          <w:p w14:paraId="417654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highlight w:val="none"/>
              </w:rPr>
            </w:pPr>
            <w:r>
              <w:rPr>
                <w:rFonts w:hint="default" w:ascii="Times New Roman" w:hAnsi="Times New Roman" w:cs="Times New Roman"/>
                <w:sz w:val="24"/>
                <w:szCs w:val="24"/>
                <w:highlight w:val="none"/>
                <w:u w:val="none"/>
              </w:rPr>
              <w:t>保函应采用招标文件提供的格式，若采用自有格式，其提交的保函内容不得对担保金额、担保范围、担保期限、担保内容作出降低担保效力的实质性修改。</w:t>
            </w:r>
          </w:p>
          <w:p w14:paraId="53B62728">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采用电子保函形式：</w:t>
            </w:r>
          </w:p>
          <w:p w14:paraId="609795D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保函应由投标人自主选择便企金融服务平台或金融机构出具，保函办理机构应提供电子化保函验真渠道和保函财务费用支付信息。</w:t>
            </w:r>
          </w:p>
          <w:p w14:paraId="67DD6D35">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其他</w:t>
            </w:r>
            <w:r>
              <w:rPr>
                <w:rFonts w:hint="eastAsia" w:ascii="Times New Roman" w:cs="Times New Roman"/>
                <w:sz w:val="24"/>
                <w:szCs w:val="24"/>
                <w:highlight w:val="none"/>
                <w:lang w:val="en-US" w:eastAsia="zh-CN"/>
              </w:rPr>
              <w:t>要求</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1.投标保证金缴纳方式 1.1 采用电汇或支票方式缴纳的，应在投</w:t>
            </w:r>
          </w:p>
          <w:p w14:paraId="37709167">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u w:val="single"/>
              </w:rPr>
              <w:t xml:space="preserve">标截止时间前通过企业基本户缴纳至以下账户，并按照招标文件中投标文件格式要求填写缴纳信息和上传缴纳凭证、基本户开户许可证等证明材料，投标保证金截止时间之后递交的投标保证金将被拒绝。 请投标人在汇款时务必注明所投标项目的名称，标段，否则因款项用途不明导致投标无效等后果由投标人自行承担。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 1.2 </w:t>
            </w:r>
            <w:r>
              <w:rPr>
                <w:rFonts w:hint="eastAsia" w:ascii="Times New Roman" w:cs="Times New Roman"/>
                <w:sz w:val="24"/>
                <w:szCs w:val="24"/>
                <w:highlight w:val="none"/>
                <w:u w:val="single"/>
                <w:lang w:val="en-US" w:eastAsia="zh-CN"/>
              </w:rPr>
              <w:t>使用</w:t>
            </w:r>
            <w:r>
              <w:rPr>
                <w:rFonts w:hint="default" w:ascii="Times New Roman" w:hAnsi="Times New Roman" w:cs="Times New Roman"/>
                <w:sz w:val="24"/>
                <w:szCs w:val="24"/>
                <w:highlight w:val="none"/>
                <w:u w:val="single"/>
              </w:rPr>
              <w:t>保函或担保保函形式缴纳投标保证金的投标人保函需制作为电子图片，附加在“投标文件格式”指定位置。投标人提供的保函需注明所投标项目、标段名称，否则，由此导致投标无效等后果由投标人自行承担。保函的有效期应与投标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w:t>
            </w:r>
          </w:p>
          <w:p w14:paraId="0F8CDA39">
            <w:pPr>
              <w:pStyle w:val="15"/>
              <w:keepNext w:val="0"/>
              <w:keepLines w:val="0"/>
              <w:pageBreakBefore w:val="0"/>
              <w:widowControl w:val="0"/>
              <w:kinsoku/>
              <w:wordWrap/>
              <w:overflowPunct/>
              <w:topLinePunct/>
              <w:autoSpaceDE/>
              <w:autoSpaceDN/>
              <w:bidi w:val="0"/>
              <w:adjustRightInd/>
              <w:snapToGrid/>
              <w:spacing w:line="360" w:lineRule="atLeast"/>
              <w:ind w:firstLine="0" w:firstLineChars="0"/>
              <w:textAlignment w:val="auto"/>
              <w:rPr>
                <w:rFonts w:hint="default" w:ascii="Times New Roman" w:hAnsi="Times New Roman" w:cs="Times New Roman"/>
                <w:sz w:val="24"/>
                <w:szCs w:val="24"/>
                <w:highlight w:val="none"/>
                <w:u w:val="single"/>
                <w:lang w:val="en-US" w:eastAsia="zh-CN"/>
              </w:rPr>
            </w:pPr>
            <w:r>
              <w:rPr>
                <w:rFonts w:hint="default" w:ascii="Times New Roman" w:hAnsi="Times New Roman" w:cs="Times New Roman"/>
                <w:sz w:val="24"/>
                <w:szCs w:val="24"/>
                <w:highlight w:val="none"/>
                <w:u w:val="single"/>
              </w:rPr>
              <w:t>不一致或错误由投标人自行承担。</w:t>
            </w:r>
            <w:r>
              <w:rPr>
                <w:rFonts w:hint="default" w:ascii="Times New Roman" w:hAnsi="Times New Roman" w:cs="Times New Roman"/>
                <w:sz w:val="24"/>
                <w:szCs w:val="24"/>
                <w:highlight w:val="none"/>
                <w:u w:val="single"/>
                <w:lang w:val="en-US" w:eastAsia="zh-CN"/>
              </w:rPr>
              <w:t xml:space="preserve">       </w:t>
            </w:r>
          </w:p>
          <w:p w14:paraId="55A1EC35">
            <w:pPr>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400A2A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4AA86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3D8811">
            <w:pPr>
              <w:spacing w:line="400" w:lineRule="exact"/>
              <w:jc w:val="center"/>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投标保证金利息计算原则</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43C76A4">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计息标准：人民银行同期活期存款利率。 </w:t>
            </w:r>
          </w:p>
          <w:p w14:paraId="662330B5">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计息时间：投标截止之日至退还的前一日。 </w:t>
            </w:r>
          </w:p>
          <w:p w14:paraId="4A4E5F5B">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保证金退还方式：电汇或保函</w:t>
            </w:r>
          </w:p>
          <w:p w14:paraId="593A41CA">
            <w:pPr>
              <w:pStyle w:val="15"/>
              <w:spacing w:line="400" w:lineRule="exact"/>
              <w:rPr>
                <w:rFonts w:hint="default" w:ascii="Times New Roman" w:hAnsi="Times New Roman" w:eastAsia="宋体" w:cs="Times New Roman"/>
                <w:b w:val="0"/>
                <w:bCs w:val="0"/>
                <w:kern w:val="2"/>
                <w:sz w:val="24"/>
                <w:szCs w:val="24"/>
                <w:highlight w:val="none"/>
                <w:lang w:val="en-US" w:eastAsia="zh-CN" w:bidi="ar-SA"/>
              </w:rPr>
            </w:pPr>
            <w:r>
              <w:rPr>
                <w:rFonts w:hint="eastAsia" w:ascii="宋体" w:hAnsi="宋体" w:eastAsia="宋体" w:cs="宋体"/>
                <w:color w:val="auto"/>
                <w:spacing w:val="-6"/>
                <w:highlight w:val="none"/>
              </w:rPr>
              <w:t>按照《招投标法实施条例》第五十七条规定：保证金退返时间最迟应在书面合同签订后5日内。</w:t>
            </w:r>
          </w:p>
        </w:tc>
      </w:tr>
      <w:tr w14:paraId="5A8AD8A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7D7BC9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BAEC09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其他可以不予退还投标保证金的情形</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5CA71E">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宋体" w:hAnsi="宋体" w:eastAsia="宋体" w:cs="宋体"/>
                <w:spacing w:val="2"/>
                <w:sz w:val="23"/>
                <w:szCs w:val="23"/>
                <w:highlight w:val="none"/>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F57341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CE6A0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A2DC0E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资格审查资料的特殊要求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7E650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无</w:t>
            </w:r>
          </w:p>
          <w:p w14:paraId="122A75AA">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有，具体要求</w:t>
            </w:r>
            <w:r>
              <w:rPr>
                <w:rFonts w:hint="default" w:ascii="Times New Roman" w:hAnsi="Times New Roman" w:cs="Times New Roman"/>
                <w:sz w:val="24"/>
                <w:szCs w:val="24"/>
                <w:highlight w:val="none"/>
                <w:u w:val="single"/>
              </w:rPr>
              <w:t>：投标文件“资格审查资料” 各项表格应提供的证明材料以本附表各附录中的规定为准</w:t>
            </w:r>
            <w:r>
              <w:rPr>
                <w:rFonts w:hint="default" w:ascii="Times New Roman" w:hAnsi="Times New Roman" w:cs="Times New Roman"/>
                <w:sz w:val="24"/>
                <w:szCs w:val="24"/>
                <w:highlight w:val="none"/>
                <w:u w:val="single"/>
                <w:lang w:val="en-US" w:eastAsia="zh-CN"/>
              </w:rPr>
              <w:t xml:space="preserve"> </w:t>
            </w:r>
          </w:p>
        </w:tc>
      </w:tr>
      <w:tr w14:paraId="7430FB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EE48BD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C0A5C7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近年财务状况的年份要求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C9DDFD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年至</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 xml:space="preserve">/ </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p>
        </w:tc>
      </w:tr>
      <w:tr w14:paraId="263A496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E30F5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654F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近年完成的类似项目情况的时间要求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2CBCEF1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2023</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1</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1</w:t>
            </w:r>
            <w:r>
              <w:rPr>
                <w:rFonts w:hint="default" w:ascii="Times New Roman" w:hAnsi="Times New Roman" w:cs="Times New Roman"/>
                <w:sz w:val="24"/>
                <w:szCs w:val="24"/>
                <w:highlight w:val="none"/>
              </w:rPr>
              <w:t>日</w:t>
            </w:r>
            <w:r>
              <w:rPr>
                <w:rFonts w:hint="default" w:ascii="Times New Roman" w:hAnsi="Times New Roman" w:cs="Times New Roman"/>
                <w:color w:val="000000"/>
                <w:sz w:val="24"/>
                <w:szCs w:val="24"/>
                <w:highlight w:val="none"/>
              </w:rPr>
              <w:t>至投标文件递交截止日</w:t>
            </w:r>
          </w:p>
        </w:tc>
      </w:tr>
      <w:tr w14:paraId="764AEC9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2D07D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3.6.1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7D6E5A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是否允许递交备选投标方案</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B7DAB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不允许</w:t>
            </w:r>
          </w:p>
          <w:p w14:paraId="0AE0ACA1">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w:t>
            </w:r>
          </w:p>
        </w:tc>
      </w:tr>
      <w:tr w14:paraId="1482900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10C95C2">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3.7.</w:t>
            </w:r>
            <w:r>
              <w:rPr>
                <w:rFonts w:hint="eastAsia" w:cs="Times New Roman"/>
                <w:sz w:val="24"/>
                <w:szCs w:val="24"/>
                <w:highlight w:val="none"/>
                <w:lang w:val="en-US" w:eastAsia="zh-CN"/>
              </w:rPr>
              <w:t>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9D2D69D">
            <w:pPr>
              <w:pageBreakBefore w:val="0"/>
              <w:kinsoku/>
              <w:wordWrap w:val="0"/>
              <w:bidi w:val="0"/>
              <w:spacing w:line="40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投标文件</w:t>
            </w:r>
            <w:r>
              <w:rPr>
                <w:rFonts w:hint="default" w:ascii="Times New Roman" w:hAnsi="Times New Roman" w:cs="Times New Roman"/>
                <w:color w:val="000000"/>
                <w:sz w:val="24"/>
                <w:szCs w:val="24"/>
                <w:highlight w:val="none"/>
                <w:lang w:val="en-US" w:eastAsia="zh-CN"/>
              </w:rPr>
              <w:t>上传</w:t>
            </w:r>
            <w:r>
              <w:rPr>
                <w:rFonts w:hint="default" w:ascii="Times New Roman" w:hAnsi="Times New Roman" w:cs="Times New Roman"/>
                <w:color w:val="000000"/>
                <w:sz w:val="24"/>
                <w:szCs w:val="24"/>
                <w:highlight w:val="none"/>
              </w:rPr>
              <w:t>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8E7B3A9">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投标人应在规定的投标截止时间前，通过互联网适用CA数字证书登录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w:t>
            </w:r>
          </w:p>
        </w:tc>
      </w:tr>
      <w:tr w14:paraId="6A7802C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239A1">
            <w:pPr>
              <w:wordWrap w:val="0"/>
              <w:spacing w:before="0" w:line="360" w:lineRule="atLeast"/>
              <w:ind w:left="0" w:leftChars="0"/>
              <w:jc w:val="center"/>
              <w:rPr>
                <w:rFonts w:hint="default" w:ascii="Times New Roman" w:hAnsi="Times New Roman" w:eastAsia="宋体" w:cs="Times New Roman"/>
                <w:kern w:val="2"/>
                <w:sz w:val="24"/>
                <w:szCs w:val="24"/>
                <w:highlight w:val="none"/>
                <w:lang w:val="en-US" w:eastAsia="zh-CN" w:bidi="ar-SA"/>
              </w:rPr>
            </w:pPr>
            <w:r>
              <w:rPr>
                <w:rFonts w:hint="default" w:cs="Times New Roman"/>
                <w:kern w:val="2"/>
                <w:sz w:val="24"/>
                <w:szCs w:val="24"/>
                <w:highlight w:val="none"/>
                <w:lang w:val="en-US" w:eastAsia="zh-CN" w:bidi="ar-SA"/>
              </w:rPr>
              <w:t>3.7.6</w:t>
            </w:r>
          </w:p>
        </w:tc>
        <w:tc>
          <w:tcPr>
            <w:tcW w:w="2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9ADD7">
            <w:pPr>
              <w:wordWrap w:val="0"/>
              <w:spacing w:line="400" w:lineRule="exact"/>
              <w:jc w:val="center"/>
              <w:rPr>
                <w:rFonts w:hint="default" w:ascii="Times New Roman" w:hAnsi="Times New Roman" w:eastAsia="宋体" w:cs="Times New Roman"/>
                <w:color w:val="000000"/>
                <w:kern w:val="2"/>
                <w:sz w:val="24"/>
                <w:szCs w:val="24"/>
                <w:highlight w:val="none"/>
                <w:lang w:val="en-US" w:eastAsia="en-US" w:bidi="ar-SA"/>
              </w:rPr>
            </w:pPr>
            <w:r>
              <w:rPr>
                <w:color w:val="000000"/>
                <w:spacing w:val="0"/>
                <w:sz w:val="24"/>
                <w:highlight w:val="none"/>
              </w:rPr>
              <w:t>投标文件其他要求</w:t>
            </w:r>
          </w:p>
        </w:tc>
        <w:tc>
          <w:tcPr>
            <w:tcW w:w="50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36D33">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本项目采用电子</w:t>
            </w:r>
            <w:r>
              <w:rPr>
                <w:rFonts w:hint="default" w:ascii="Times New Roman" w:hAnsi="Times New Roman" w:cs="Times New Roman"/>
                <w:color w:val="auto"/>
                <w:sz w:val="24"/>
                <w:szCs w:val="24"/>
                <w:highlight w:val="none"/>
              </w:rPr>
              <w:t>招标投标形式。中标人在合同签订前需向招标人提交资料：</w:t>
            </w:r>
          </w:p>
          <w:p w14:paraId="765C3008">
            <w:pPr>
              <w:jc w:val="left"/>
              <w:rPr>
                <w:rFonts w:hint="default" w:ascii="Times New Roman" w:hAnsi="Times New Roman" w:cs="Times New Roman"/>
                <w:color w:val="auto"/>
                <w:sz w:val="24"/>
                <w:szCs w:val="24"/>
                <w:highlight w:val="none"/>
              </w:rPr>
            </w:pPr>
            <w:sdt>
              <w:sdtPr>
                <w:rPr>
                  <w:rFonts w:hint="default" w:ascii="Times New Roman" w:hAnsi="Times New Roman" w:cs="Times New Roman"/>
                  <w:b/>
                  <w:bCs/>
                  <w:color w:val="auto"/>
                  <w:sz w:val="24"/>
                  <w:szCs w:val="24"/>
                  <w:highlight w:val="none"/>
                  <w:shd w:val="clear" w:color="auto" w:fill="FFFFFF" w:themeFill="background1"/>
                </w:rPr>
                <w:id w:val="147474650"/>
                <w14:checkbox>
                  <w14:checked w14:val="1"/>
                  <w14:checkedState w14:val="0052" w14:font="Wingdings 2"/>
                  <w14:uncheckedState w14:val="2610" w14:font="MS Gothic"/>
                </w14:checkbox>
              </w:sdtPr>
              <w:sdtEndPr>
                <w:rPr>
                  <w:rFonts w:hint="default" w:ascii="Times New Roman" w:hAnsi="Times New Roman" w:cs="Times New Roman"/>
                  <w:b/>
                  <w:bCs/>
                  <w:color w:val="auto"/>
                  <w:sz w:val="24"/>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 w:val="24"/>
                <w:szCs w:val="24"/>
                <w:highlight w:val="none"/>
              </w:rPr>
              <w:t xml:space="preserve"> 纸质版投标文件：</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套；</w:t>
            </w:r>
          </w:p>
          <w:p w14:paraId="2AEC147E">
            <w:pPr>
              <w:pStyle w:val="15"/>
              <w:rPr>
                <w:rFonts w:hint="default" w:ascii="Times New Roman" w:hAnsi="Times New Roman" w:eastAsia="宋体" w:cs="Times New Roman"/>
                <w:color w:val="000000"/>
                <w:kern w:val="2"/>
                <w:sz w:val="24"/>
                <w:szCs w:val="24"/>
                <w:highlight w:val="none"/>
                <w:lang w:val="en-US" w:eastAsia="zh-CN" w:bidi="ar-SA"/>
              </w:rPr>
            </w:pPr>
            <w:sdt>
              <w:sdtPr>
                <w:rPr>
                  <w:rFonts w:hint="default" w:ascii="Times New Roman" w:hAnsi="Times New Roman" w:cs="Times New Roman"/>
                  <w:b/>
                  <w:bCs/>
                  <w:color w:val="auto"/>
                  <w:szCs w:val="24"/>
                  <w:highlight w:val="none"/>
                  <w:shd w:val="clear" w:color="auto" w:fill="FFFFFF" w:themeFill="background1"/>
                </w:rPr>
                <w:id w:val="147455373"/>
                <w14:checkbox>
                  <w14:checked w14:val="1"/>
                  <w14:checkedState w14:val="0052" w14:font="Wingdings 2"/>
                  <w14:uncheckedState w14:val="2610" w14:font="MS Gothic"/>
                </w14:checkbox>
              </w:sdtPr>
              <w:sdtEndPr>
                <w:rPr>
                  <w:rFonts w:hint="default" w:ascii="Times New Roman" w:hAnsi="Times New Roman" w:cs="Times New Roman"/>
                  <w:b/>
                  <w:bCs/>
                  <w:color w:val="auto"/>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Cs w:val="24"/>
                <w:highlight w:val="none"/>
              </w:rPr>
              <w:t xml:space="preserve"> 电子版投标文件，具体要求为：</w:t>
            </w:r>
            <w:r>
              <w:rPr>
                <w:rFonts w:hint="default" w:ascii="Times New Roman" w:hAnsi="Times New Roman" w:cs="Times New Roman"/>
                <w:b/>
                <w:bCs/>
                <w:color w:val="auto"/>
                <w:szCs w:val="24"/>
                <w:highlight w:val="none"/>
                <w:u w:val="none"/>
              </w:rPr>
              <w:t xml:space="preserve"> 电子投标文件 U 盘2 份(PDF 格式）。本项目采用远程解密、远程直播开标。投标文件需要用实体 CA 数字证书或移动 CA 数字证书生成上传,解密时由投标人自行携带解密工具。解密时限为递交投标文件截止时间起 30 分钟内(因开标系统发生不可抗力产生延误解密时间的，招标人将延长相应的解密时长，其他原</w:t>
            </w:r>
            <w:r>
              <w:rPr>
                <w:rFonts w:hint="default" w:ascii="Times New Roman" w:hAnsi="Times New Roman" w:cs="Times New Roman"/>
                <w:b/>
                <w:bCs/>
                <w:color w:val="auto"/>
                <w:szCs w:val="24"/>
                <w:highlight w:val="none"/>
                <w:u w:val="none"/>
              </w:rPr>
              <w:t>因不予延长解密时间)，登录交易系统进入所投开标项目，使用 CA 数字证书解密。未在规定时间内完成解密的投标人，视为放弃本次投标，招标人不再接收。</w:t>
            </w:r>
          </w:p>
        </w:tc>
      </w:tr>
      <w:tr w14:paraId="7D63C3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1B35B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35774CB">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6970859E">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p>
          <w:p w14:paraId="25567B7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按照第一章</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招标公告</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需要</w:t>
            </w:r>
            <w:r>
              <w:rPr>
                <w:rFonts w:hint="default" w:ascii="Times New Roman" w:hAnsi="Times New Roman" w:eastAsia="宋体" w:cs="Times New Roman"/>
                <w:color w:val="auto"/>
                <w:kern w:val="2"/>
                <w:sz w:val="24"/>
                <w:szCs w:val="24"/>
                <w:highlight w:val="none"/>
                <w:lang w:val="en-US" w:eastAsia="zh-CN" w:bidi="ar-SA"/>
              </w:rPr>
              <w:t>随机确定投标人参与的具体标段号的时间：另行通知</w:t>
            </w:r>
            <w:r>
              <w:rPr>
                <w:rFonts w:hint="eastAsia" w:cs="Times New Roman"/>
                <w:color w:val="auto"/>
                <w:kern w:val="2"/>
                <w:sz w:val="24"/>
                <w:szCs w:val="24"/>
                <w:highlight w:val="none"/>
                <w:lang w:val="en-US" w:eastAsia="zh-CN" w:bidi="ar-SA"/>
              </w:rPr>
              <w:t>（如需）</w:t>
            </w:r>
          </w:p>
          <w:p w14:paraId="44C4B5B2">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p>
          <w:p w14:paraId="200B145F">
            <w:pPr>
              <w:shd w:val="clear"/>
              <w:spacing w:line="440" w:lineRule="exact"/>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地点：本项目采用不见面开标，投标人无需至开标现场。</w:t>
            </w:r>
          </w:p>
          <w:p w14:paraId="3804B12A">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 xml:space="preserve">开标系统：                    </w:t>
            </w:r>
          </w:p>
        </w:tc>
      </w:tr>
      <w:tr w14:paraId="2A16FD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FBBDB6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5CF00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第一个信封（商务及技术文件）开标程序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726C7546">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5</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251505C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tc>
      </w:tr>
      <w:tr w14:paraId="06AFCCB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7AC58E3">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D6840CA">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投标人参与详细评审的具体标段号的随机确定程序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2821B0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□适用，随机确定投标标段：        </w:t>
            </w:r>
          </w:p>
          <w:p w14:paraId="14743D8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不适用</w:t>
            </w:r>
          </w:p>
        </w:tc>
      </w:tr>
      <w:tr w14:paraId="46565A1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162A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1669529">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第二个信封（报价文件）开标程序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EF079E1">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4</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rPr>
              <w:t>第二个信封（报价文件）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58BFE5A1">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p w14:paraId="28C30307">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0D78D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0A053A">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5.3.1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C6BD8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开标补救措施</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A73700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开标过程中因本章正文第 5.3.2 项、第 5.3.3 </w:t>
            </w:r>
          </w:p>
          <w:p w14:paraId="620CC6E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项所列原因，导致系统无法正常运行，与客服</w:t>
            </w:r>
          </w:p>
          <w:p w14:paraId="3B3F41F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及时沟通处理。</w:t>
            </w:r>
          </w:p>
        </w:tc>
      </w:tr>
      <w:tr w14:paraId="14794645">
        <w:tblPrEx>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010A08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C501C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评标委员会的组建</w:t>
            </w:r>
            <w:r>
              <w:rPr>
                <w:rStyle w:val="48"/>
                <w:rFonts w:hint="default" w:ascii="Times New Roman" w:hAnsi="Times New Roman" w:cs="Times New Roman"/>
                <w:sz w:val="24"/>
                <w:szCs w:val="24"/>
                <w:highlight w:val="none"/>
              </w:rPr>
              <w:footnoteReference w:id="7"/>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DC9492A">
            <w:pPr>
              <w:pageBreakBefore w:val="0"/>
              <w:kinsoku/>
              <w:wordWrap w:val="0"/>
              <w:bidi w:val="0"/>
              <w:spacing w:line="36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评标委员会构成：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人，其中招标人代表</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0</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人，专家</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w:t>
            </w:r>
          </w:p>
          <w:p w14:paraId="59987F0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评标专家确定方式：</w:t>
            </w:r>
            <w:r>
              <w:rPr>
                <w:rFonts w:hint="default" w:ascii="Times New Roman" w:hAnsi="Times New Roman" w:cs="Times New Roman"/>
                <w:sz w:val="24"/>
                <w:szCs w:val="24"/>
                <w:highlight w:val="none"/>
                <w:u w:val="single"/>
              </w:rPr>
              <w:t xml:space="preserve"> 依法从相应评标专家库中随机抽取</w:t>
            </w:r>
            <w:r>
              <w:rPr>
                <w:rFonts w:hint="default" w:ascii="Times New Roman" w:hAnsi="Times New Roman" w:cs="Times New Roman"/>
                <w:sz w:val="24"/>
                <w:szCs w:val="24"/>
                <w:highlight w:val="none"/>
                <w:u w:val="single"/>
                <w:lang w:val="en-US" w:eastAsia="zh-CN"/>
              </w:rPr>
              <w:t xml:space="preserve">  </w:t>
            </w:r>
          </w:p>
        </w:tc>
      </w:tr>
      <w:tr w14:paraId="5B32AF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5AB49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4CC15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评标委员会推荐中标候选人的人数</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3FB4F40">
            <w:pPr>
              <w:pageBreakBefore w:val="0"/>
              <w:kinsoku/>
              <w:wordWrap w:val="0"/>
              <w:bidi w:val="0"/>
              <w:spacing w:line="360" w:lineRule="atLeast"/>
              <w:rPr>
                <w:rFonts w:hint="default" w:ascii="Times New Roman" w:hAnsi="Times New Roman" w:eastAsia="宋体" w:cs="Times New Roman"/>
                <w:spacing w:val="10"/>
                <w:sz w:val="24"/>
                <w:szCs w:val="24"/>
                <w:highlight w:val="none"/>
                <w:bdr w:val="single" w:color="auto" w:sz="4" w:space="0"/>
                <w:lang w:val="en-US" w:eastAsia="zh-CN"/>
              </w:rPr>
            </w:pPr>
            <w:r>
              <w:rPr>
                <w:rFonts w:hint="eastAsia" w:cs="Times New Roman"/>
                <w:sz w:val="24"/>
                <w:szCs w:val="24"/>
                <w:highlight w:val="none"/>
                <w:lang w:val="en-US" w:eastAsia="zh-CN"/>
              </w:rPr>
              <w:t>3名</w:t>
            </w:r>
          </w:p>
        </w:tc>
      </w:tr>
      <w:tr w14:paraId="0DB29F8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7B5C0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E8768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中标候选人公示媒介及期限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公示媒介：同发布招标公告媒介</w:t>
            </w:r>
          </w:p>
          <w:p w14:paraId="412C7067">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不少于 3    </w:t>
            </w:r>
            <w:r>
              <w:rPr>
                <w:rFonts w:hint="default" w:ascii="Times New Roman" w:hAnsi="Times New Roman" w:cs="Times New Roman"/>
                <w:sz w:val="24"/>
                <w:szCs w:val="24"/>
                <w:highlight w:val="none"/>
              </w:rPr>
              <w:t>日</w:t>
            </w:r>
          </w:p>
          <w:p w14:paraId="77975FEE">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公示的其他内容：</w:t>
            </w:r>
          </w:p>
          <w:p w14:paraId="4CC4C9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□详细评审的评标委员会成员打分</w:t>
            </w:r>
          </w:p>
          <w:p w14:paraId="673C5B4A">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□受理异议和投诉的联系方式</w:t>
            </w:r>
          </w:p>
          <w:p w14:paraId="0EC2D3C7">
            <w:pPr>
              <w:pStyle w:val="16"/>
              <w:keepNext w:val="0"/>
              <w:keepLines w:val="0"/>
              <w:pageBreakBefore w:val="0"/>
              <w:widowControl w:val="0"/>
              <w:kinsoku/>
              <w:overflowPunct/>
              <w:topLinePunct w:val="0"/>
              <w:autoSpaceDE/>
              <w:autoSpaceDN/>
              <w:bidi w:val="0"/>
              <w:adjustRightInd/>
              <w:snapToGrid/>
              <w:spacing w:line="360" w:lineRule="atLeas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 xml:space="preserve">         </w:t>
            </w:r>
          </w:p>
          <w:p w14:paraId="2980AE2C">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u w:val="none"/>
              </w:rPr>
              <w:t>如发现投标人存在弄虚作假行为，招标人将取消其中标候选人资格，并上报省级交通主管部门，作为不良记录纳入公路建设市场信用信息管理系统。</w:t>
            </w:r>
          </w:p>
        </w:tc>
      </w:tr>
      <w:tr w14:paraId="47B784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1690F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204D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是否授权评标委员会确定中标人</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4B02B36A">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是</w:t>
            </w:r>
          </w:p>
          <w:p w14:paraId="66D65E1B">
            <w:pPr>
              <w:pageBreakBefore w:val="0"/>
              <w:kinsoku/>
              <w:wordWrap w:val="0"/>
              <w:bidi w:val="0"/>
              <w:snapToGrid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2416EFA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24D5D5">
            <w:pPr>
              <w:wordWrap w:val="0"/>
              <w:spacing w:before="0" w:line="360" w:lineRule="atLeast"/>
              <w:ind w:left="0" w:leftChars="0"/>
              <w:jc w:val="center"/>
              <w:rPr>
                <w:rFonts w:hint="default" w:ascii="Cambria" w:hAnsi="Cambria" w:eastAsia="Cambria" w:cs="Cambria"/>
                <w:kern w:val="2"/>
                <w:sz w:val="24"/>
                <w:szCs w:val="24"/>
                <w:highlight w:val="none"/>
                <w:lang w:val="en-US" w:eastAsia="zh-CN" w:bidi="ar-SA"/>
              </w:rPr>
            </w:pPr>
            <w:r>
              <w:rPr>
                <w:rFonts w:ascii="Times New Roman" w:hAnsi="Times New Roman" w:eastAsia="宋体" w:cs="Times New Roman"/>
                <w:spacing w:val="0"/>
                <w:sz w:val="24"/>
                <w:szCs w:val="24"/>
                <w:highlight w:val="none"/>
              </w:rPr>
              <w:t>7.4.2</w:t>
            </w:r>
          </w:p>
        </w:tc>
        <w:tc>
          <w:tcPr>
            <w:tcW w:w="29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4BADF4">
            <w:pPr>
              <w:pStyle w:val="92"/>
              <w:spacing w:before="143" w:line="221" w:lineRule="auto"/>
              <w:ind w:left="1014" w:leftChars="0"/>
              <w:rPr>
                <w:rFonts w:hint="default" w:ascii="Cambria" w:hAnsi="Cambria" w:eastAsia="Cambria" w:cs="Cambria"/>
                <w:kern w:val="2"/>
                <w:sz w:val="16"/>
                <w:szCs w:val="16"/>
                <w:highlight w:val="none"/>
                <w:lang w:val="en-US" w:eastAsia="en-US" w:bidi="ar-SA"/>
              </w:rPr>
            </w:pPr>
            <w:r>
              <w:rPr>
                <w:rFonts w:ascii="Times New Roman" w:hAnsi="Times New Roman" w:cs="Times New Roman"/>
                <w:spacing w:val="0"/>
                <w:sz w:val="24"/>
                <w:szCs w:val="24"/>
                <w:highlight w:val="none"/>
                <w:lang w:eastAsia="zh-CN"/>
              </w:rPr>
              <w:t>定标规则</w:t>
            </w:r>
            <w:r>
              <w:rPr>
                <w:spacing w:val="-94"/>
                <w:highlight w:val="none"/>
              </w:rPr>
              <w:t xml:space="preserve"> </w:t>
            </w:r>
          </w:p>
        </w:tc>
        <w:tc>
          <w:tcPr>
            <w:tcW w:w="501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C1DDFF">
            <w:pPr>
              <w:rPr>
                <w:rFonts w:hint="default" w:ascii="Arial" w:hAnsi="Times New Roman" w:eastAsia="宋体" w:cs="Times New Roman"/>
                <w:kern w:val="2"/>
                <w:sz w:val="21"/>
                <w:szCs w:val="24"/>
                <w:highlight w:val="none"/>
                <w:lang w:val="en-US" w:eastAsia="zh-CN" w:bidi="ar-SA"/>
              </w:rPr>
            </w:pPr>
            <w:r>
              <w:rPr>
                <w:rFonts w:hint="eastAsia" w:ascii="Arial" w:cs="Times New Roman"/>
                <w:kern w:val="2"/>
                <w:sz w:val="21"/>
                <w:szCs w:val="24"/>
                <w:highlight w:val="none"/>
                <w:lang w:val="en-US" w:eastAsia="zh-CN" w:bidi="ar-SA"/>
              </w:rPr>
              <w:t>/</w:t>
            </w:r>
          </w:p>
        </w:tc>
      </w:tr>
      <w:tr w14:paraId="5F19C9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70FC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8797E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000000"/>
                <w:sz w:val="24"/>
                <w:szCs w:val="24"/>
                <w:highlight w:val="none"/>
              </w:rPr>
              <w:t>中标通知书和中标结果通知发出的形式</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922BFC2">
            <w:pPr>
              <w:pageBreakBefore w:val="0"/>
              <w:kinsoku/>
              <w:wordWrap w:val="0"/>
              <w:bidi w:val="0"/>
              <w:spacing w:line="440" w:lineRule="exac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eastAsia="zh-CN"/>
              </w:rPr>
              <w:t>☑</w:t>
            </w:r>
            <w:r>
              <w:rPr>
                <w:rFonts w:hint="default" w:ascii="Times New Roman" w:hAnsi="Times New Roman" w:cs="Times New Roman"/>
                <w:sz w:val="24"/>
                <w:szCs w:val="24"/>
                <w:highlight w:val="none"/>
                <w:lang w:val="en-US" w:eastAsia="zh-CN"/>
              </w:rPr>
              <w:t>书面形式</w:t>
            </w:r>
          </w:p>
          <w:p w14:paraId="2A5902F5">
            <w:pPr>
              <w:pageBreakBefore w:val="0"/>
              <w:kinsoku/>
              <w:wordWrap w:val="0"/>
              <w:overflowPunct/>
              <w:bidi w:val="0"/>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电子形式：通过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以数据电文</w:t>
            </w:r>
            <w:r>
              <w:rPr>
                <w:rFonts w:hint="default" w:ascii="Times New Roman" w:hAnsi="Times New Roman" w:cs="Times New Roman"/>
                <w:sz w:val="24"/>
                <w:highlight w:val="none"/>
                <w:lang w:val="en-US" w:eastAsia="zh-CN"/>
              </w:rPr>
              <w:t>形式发出</w:t>
            </w:r>
          </w:p>
        </w:tc>
      </w:tr>
      <w:tr w14:paraId="62FCD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9E0AA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9320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中标结果公告媒介及期限</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040B0AE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媒介：同发布招标公告媒介</w:t>
            </w:r>
          </w:p>
          <w:p w14:paraId="26689D35">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1</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tc>
      </w:tr>
      <w:tr w14:paraId="57D6B2F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8617B3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80B9EE3">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履约保证金</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11C5D2DC">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是否要求中标人提交履约保证金：</w:t>
            </w:r>
          </w:p>
          <w:p w14:paraId="7FDB2ADE">
            <w:pPr>
              <w:pStyle w:val="15"/>
              <w:keepNext w:val="0"/>
              <w:keepLines w:val="0"/>
              <w:pageBreakBefore w:val="0"/>
              <w:widowControl w:val="0"/>
              <w:kinsoku/>
              <w:wordWrap w:val="0"/>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要求，履约保证金的形式：</w:t>
            </w:r>
            <w:r>
              <w:rPr>
                <w:rFonts w:hint="default" w:ascii="Times New Roman" w:hAnsi="Times New Roman" w:cs="Times New Roman"/>
                <w:sz w:val="24"/>
                <w:szCs w:val="24"/>
                <w:highlight w:val="none"/>
                <w:u w:val="single"/>
              </w:rPr>
              <w:t>由中标人自主选择银行保函或者现金、支票 等招标人可接受的支付形式。</w:t>
            </w:r>
            <w:r>
              <w:rPr>
                <w:rFonts w:hint="default" w:ascii="Times New Roman" w:hAnsi="Times New Roman" w:cs="Times New Roman"/>
                <w:sz w:val="24"/>
                <w:szCs w:val="24"/>
                <w:highlight w:val="none"/>
                <w:u w:val="single"/>
                <w:lang w:val="en-US" w:eastAsia="zh-CN"/>
              </w:rPr>
              <w:t xml:space="preserve"> </w:t>
            </w:r>
            <w:r>
              <w:rPr>
                <w:rStyle w:val="48"/>
                <w:rFonts w:hint="default" w:ascii="Times New Roman" w:hAnsi="Times New Roman" w:cs="Times New Roman"/>
                <w:sz w:val="24"/>
                <w:szCs w:val="24"/>
                <w:highlight w:val="none"/>
                <w:u w:val="single"/>
              </w:rPr>
              <w:footnoteReference w:id="8"/>
            </w:r>
          </w:p>
          <w:p w14:paraId="6759C3F2">
            <w:pPr>
              <w:keepNext w:val="0"/>
              <w:keepLines w:val="0"/>
              <w:pageBreakBefore w:val="0"/>
              <w:widowControl w:val="0"/>
              <w:kinsoku/>
              <w:wordWrap w:val="0"/>
              <w:overflowPunct/>
              <w:autoSpaceDE/>
              <w:autoSpaceDN/>
              <w:bidi w:val="0"/>
              <w:adjustRightInd/>
              <w:snapToGrid/>
              <w:spacing w:line="360" w:lineRule="atLeas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履约保证金的金额：</w:t>
            </w:r>
            <w:r>
              <w:rPr>
                <w:rFonts w:hint="default" w:ascii="Times New Roman" w:hAnsi="Times New Roman" w:cs="Times New Roman"/>
                <w:b/>
                <w:bCs/>
                <w:sz w:val="24"/>
                <w:szCs w:val="24"/>
                <w:highlight w:val="none"/>
                <w:u w:val="single"/>
              </w:rPr>
              <w:t xml:space="preserve">  5 ％</w:t>
            </w:r>
            <w:r>
              <w:rPr>
                <w:rFonts w:hint="default" w:ascii="Times New Roman" w:hAnsi="Times New Roman" w:cs="Times New Roman"/>
                <w:sz w:val="24"/>
                <w:szCs w:val="24"/>
                <w:highlight w:val="none"/>
              </w:rPr>
              <w:t>签约合同价</w:t>
            </w:r>
            <w:r>
              <w:rPr>
                <w:rFonts w:hint="default" w:ascii="Times New Roman" w:hAnsi="Times New Roman" w:cs="Times New Roman"/>
                <w:spacing w:val="-6"/>
                <w:sz w:val="24"/>
                <w:szCs w:val="24"/>
                <w:highlight w:val="none"/>
              </w:rPr>
              <w:t>，被招标项目所在地省级交通运输主管部门评为</w:t>
            </w:r>
            <w:r>
              <w:rPr>
                <w:rFonts w:hint="default" w:ascii="Times New Roman" w:hAnsi="Times New Roman" w:cs="Times New Roman"/>
                <w:spacing w:val="-6"/>
                <w:sz w:val="24"/>
                <w:szCs w:val="24"/>
                <w:highlight w:val="none"/>
                <w:u w:val="single"/>
              </w:rPr>
              <w:t xml:space="preserve">    </w:t>
            </w:r>
            <w:r>
              <w:rPr>
                <w:rFonts w:hint="default" w:ascii="Times New Roman" w:hAnsi="Times New Roman" w:cs="Times New Roman"/>
                <w:spacing w:val="-6"/>
                <w:sz w:val="24"/>
                <w:szCs w:val="24"/>
                <w:highlight w:val="none"/>
              </w:rPr>
              <w:t>信用等级的中标人，履约保证金金额为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%签约合同价</w:t>
            </w:r>
            <w:r>
              <w:rPr>
                <w:rStyle w:val="48"/>
                <w:rFonts w:hint="default" w:ascii="Times New Roman" w:hAnsi="Times New Roman" w:cs="Times New Roman"/>
                <w:sz w:val="24"/>
                <w:szCs w:val="24"/>
                <w:highlight w:val="none"/>
              </w:rPr>
              <w:footnoteReference w:id="9"/>
            </w:r>
          </w:p>
          <w:p w14:paraId="054C5EDC">
            <w:pPr>
              <w:keepNext w:val="0"/>
              <w:keepLines w:val="0"/>
              <w:pageBreakBefore w:val="0"/>
              <w:widowControl w:val="0"/>
              <w:kinsoku/>
              <w:wordWrap w:val="0"/>
              <w:overflowPunct/>
              <w:autoSpaceDE/>
              <w:autoSpaceDN/>
              <w:bidi w:val="0"/>
              <w:adjustRightInd/>
              <w:snapToGrid/>
              <w:spacing w:line="360" w:lineRule="atLeast"/>
              <w:ind w:firstLine="448"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pacing w:val="-8"/>
                <w:sz w:val="24"/>
                <w:szCs w:val="24"/>
                <w:highlight w:val="none"/>
              </w:rPr>
              <w:t>采用保函时，出具保函的级别</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p>
          <w:p w14:paraId="24B25D15">
            <w:pPr>
              <w:keepNext w:val="0"/>
              <w:keepLines w:val="0"/>
              <w:pageBreakBefore w:val="0"/>
              <w:widowControl w:val="0"/>
              <w:kinsoku/>
              <w:wordWrap w:val="0"/>
              <w:overflowPunct/>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5360C8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7609F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FD23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B9E7F3F">
            <w:pPr>
              <w:pageBreakBefore w:val="0"/>
              <w:kinsoku/>
              <w:wordWrap w:val="0"/>
              <w:bidi w:val="0"/>
              <w:spacing w:line="360" w:lineRule="atLeast"/>
              <w:rPr>
                <w:rFonts w:ascii="宋体" w:hAnsi="宋体" w:eastAsia="宋体" w:cs="宋体"/>
                <w:spacing w:val="9"/>
                <w:sz w:val="23"/>
                <w:szCs w:val="23"/>
                <w:highlight w:val="none"/>
                <w:u w:val="single"/>
              </w:rPr>
            </w:pPr>
            <w:r>
              <w:rPr>
                <w:rFonts w:hint="default" w:ascii="Times New Roman" w:hAnsi="Times New Roman" w:cs="Times New Roman"/>
                <w:sz w:val="24"/>
                <w:szCs w:val="24"/>
                <w:highlight w:val="none"/>
              </w:rPr>
              <w:t>监督部门：大石桥市交通运输局</w:t>
            </w:r>
          </w:p>
          <w:p w14:paraId="61C07A8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    址：</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eastAsia="zh-CN"/>
              </w:rPr>
              <w:t>大石桥市</w:t>
            </w:r>
            <w:r>
              <w:rPr>
                <w:rFonts w:hint="default" w:ascii="Times New Roman" w:hAnsi="Times New Roman" w:cs="Times New Roman"/>
                <w:sz w:val="24"/>
                <w:szCs w:val="24"/>
                <w:highlight w:val="none"/>
                <w:u w:val="single"/>
              </w:rPr>
              <w:t xml:space="preserve">    </w:t>
            </w:r>
          </w:p>
          <w:p w14:paraId="0C24F59F">
            <w:pPr>
              <w:pageBreakBefore w:val="0"/>
              <w:kinsoku/>
              <w:wordWrap w:val="0"/>
              <w:bidi w:val="0"/>
              <w:spacing w:line="360" w:lineRule="atLeast"/>
              <w:rPr>
                <w:rFonts w:hint="default" w:ascii="宋体" w:hAnsi="宋体" w:eastAsia="宋体" w:cs="宋体"/>
                <w:spacing w:val="9"/>
                <w:sz w:val="23"/>
                <w:szCs w:val="23"/>
                <w:highlight w:val="none"/>
                <w:u w:val="single"/>
              </w:rPr>
            </w:pPr>
            <w:r>
              <w:rPr>
                <w:rFonts w:hint="default" w:ascii="Times New Roman" w:hAnsi="Times New Roman" w:cs="Times New Roman"/>
                <w:sz w:val="24"/>
                <w:szCs w:val="24"/>
                <w:highlight w:val="none"/>
              </w:rPr>
              <w:t>电    话：</w:t>
            </w:r>
            <w:r>
              <w:rPr>
                <w:rFonts w:hint="eastAsia" w:cs="Times New Roman"/>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0417-5836231</w:t>
            </w:r>
          </w:p>
          <w:p w14:paraId="6CA2D89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    真：</w:t>
            </w:r>
            <w:r>
              <w:rPr>
                <w:rFonts w:hint="default" w:ascii="Times New Roman" w:hAnsi="Times New Roman" w:cs="Times New Roman"/>
                <w:sz w:val="24"/>
                <w:szCs w:val="24"/>
                <w:highlight w:val="none"/>
                <w:u w:val="single"/>
              </w:rPr>
              <w:t xml:space="preserve">            </w:t>
            </w:r>
          </w:p>
          <w:p w14:paraId="2B688594">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邮政编码：</w:t>
            </w:r>
            <w:r>
              <w:rPr>
                <w:rFonts w:hint="default" w:ascii="Times New Roman" w:hAnsi="Times New Roman" w:cs="Times New Roman"/>
                <w:sz w:val="24"/>
                <w:szCs w:val="24"/>
                <w:highlight w:val="none"/>
                <w:u w:val="single"/>
              </w:rPr>
              <w:t xml:space="preserve">            </w:t>
            </w:r>
          </w:p>
          <w:p w14:paraId="236F8976">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002C6BFF">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71E405E9">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13F8073">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3DADEFC2">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11DC403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28CC53FE">
        <w:tblPrEx>
          <w:tblCellMar>
            <w:top w:w="0" w:type="dxa"/>
            <w:left w:w="108" w:type="dxa"/>
            <w:bottom w:w="0" w:type="dxa"/>
            <w:right w:w="108" w:type="dxa"/>
          </w:tblCellMar>
        </w:tblPrEx>
        <w:trPr>
          <w:trHeight w:val="340" w:hRule="atLeast"/>
        </w:trPr>
        <w:tc>
          <w:tcPr>
            <w:tcW w:w="9004" w:type="dxa"/>
            <w:gridSpan w:val="3"/>
            <w:tcBorders>
              <w:top w:val="single" w:color="auto" w:sz="4" w:space="0"/>
              <w:left w:val="single" w:color="auto" w:sz="4" w:space="0"/>
              <w:bottom w:val="single" w:color="auto" w:sz="4" w:space="0"/>
              <w:right w:val="single" w:color="auto" w:sz="4" w:space="0"/>
            </w:tcBorders>
            <w:noWrap w:val="0"/>
            <w:vAlign w:val="center"/>
          </w:tcPr>
          <w:p w14:paraId="66B80421">
            <w:pPr>
              <w:pageBreakBefore w:val="0"/>
              <w:kinsoku/>
              <w:wordWrap w:val="0"/>
              <w:bidi w:val="0"/>
              <w:spacing w:line="360" w:lineRule="atLeas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需要补充的其他内容</w:t>
            </w:r>
          </w:p>
        </w:tc>
      </w:tr>
      <w:tr w14:paraId="3EBE3F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DBB2F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9.1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B35E264">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施工组织设计的编制要求</w:t>
            </w:r>
          </w:p>
        </w:tc>
        <w:tc>
          <w:tcPr>
            <w:tcW w:w="5015" w:type="dxa"/>
            <w:tcBorders>
              <w:top w:val="single" w:color="auto" w:sz="4" w:space="0"/>
              <w:left w:val="single" w:color="auto" w:sz="4" w:space="0"/>
              <w:bottom w:val="single" w:color="auto" w:sz="4" w:space="0"/>
              <w:right w:val="single" w:color="auto" w:sz="4" w:space="0"/>
            </w:tcBorders>
            <w:noWrap w:val="0"/>
            <w:vAlign w:val="center"/>
          </w:tcPr>
          <w:p w14:paraId="5288A6B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编制要求：</w:t>
            </w:r>
          </w:p>
          <w:p w14:paraId="11800864">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采用暗标形式，必须按下列格式编制，否则视为未对招标文件作出实质性响应，按否决投标处理。</w:t>
            </w:r>
          </w:p>
          <w:p w14:paraId="53EBEF7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w:t>
            </w:r>
            <w:r>
              <w:rPr>
                <w:spacing w:val="-10"/>
                <w:sz w:val="24"/>
                <w:highlight w:val="none"/>
              </w:rPr>
              <w:t>采用</w:t>
            </w:r>
            <w:r>
              <w:rPr>
                <w:rFonts w:ascii="Cambria" w:hAnsi="Cambria" w:eastAsia="Cambria" w:cs="Cambria"/>
                <w:spacing w:val="-10"/>
                <w:sz w:val="24"/>
                <w:highlight w:val="none"/>
                <w:u w:val="single" w:color="auto"/>
              </w:rPr>
              <w:t xml:space="preserve">  A4   </w:t>
            </w:r>
            <w:r>
              <w:rPr>
                <w:spacing w:val="-10"/>
                <w:sz w:val="24"/>
                <w:highlight w:val="none"/>
              </w:rPr>
              <w:t>纸张。页边距：</w:t>
            </w:r>
            <w:r>
              <w:rPr>
                <w:spacing w:val="-10"/>
                <w:sz w:val="24"/>
                <w:highlight w:val="none"/>
                <w:u w:val="single" w:color="auto"/>
              </w:rPr>
              <w:t xml:space="preserve"> 左边距为</w:t>
            </w:r>
            <w:r>
              <w:rPr>
                <w:spacing w:val="-50"/>
                <w:sz w:val="24"/>
                <w:highlight w:val="none"/>
                <w:u w:val="single" w:color="auto"/>
              </w:rPr>
              <w:t xml:space="preserve"> </w:t>
            </w:r>
            <w:r>
              <w:rPr>
                <w:rFonts w:ascii="Cambria" w:hAnsi="Cambria" w:eastAsia="Cambria" w:cs="Cambria"/>
                <w:spacing w:val="-11"/>
                <w:sz w:val="24"/>
                <w:highlight w:val="none"/>
                <w:u w:val="single" w:color="auto"/>
              </w:rPr>
              <w:t>3.17</w:t>
            </w:r>
            <w:r>
              <w:rPr>
                <w:spacing w:val="-4"/>
                <w:sz w:val="24"/>
                <w:highlight w:val="none"/>
                <w:u w:val="single" w:color="auto"/>
              </w:rPr>
              <w:t>厘米、右边及上下边距为</w:t>
            </w:r>
            <w:r>
              <w:rPr>
                <w:spacing w:val="-42"/>
                <w:sz w:val="24"/>
                <w:highlight w:val="none"/>
                <w:u w:val="single" w:color="auto"/>
              </w:rPr>
              <w:t xml:space="preserve"> </w:t>
            </w:r>
            <w:r>
              <w:rPr>
                <w:rFonts w:ascii="Cambria" w:hAnsi="Cambria" w:eastAsia="Cambria" w:cs="Cambria"/>
                <w:spacing w:val="-4"/>
                <w:sz w:val="24"/>
                <w:highlight w:val="none"/>
                <w:u w:val="single" w:color="auto"/>
              </w:rPr>
              <w:t>2.54</w:t>
            </w:r>
            <w:r>
              <w:rPr>
                <w:rFonts w:ascii="Cambria" w:hAnsi="Cambria" w:eastAsia="Cambria" w:cs="Cambria"/>
                <w:spacing w:val="20"/>
                <w:sz w:val="24"/>
                <w:highlight w:val="none"/>
                <w:u w:val="single" w:color="auto"/>
              </w:rPr>
              <w:t xml:space="preserve"> </w:t>
            </w:r>
            <w:r>
              <w:rPr>
                <w:spacing w:val="-4"/>
                <w:sz w:val="24"/>
                <w:highlight w:val="none"/>
                <w:u w:val="single" w:color="auto"/>
              </w:rPr>
              <w:t>厘米</w:t>
            </w:r>
            <w:r>
              <w:rPr>
                <w:spacing w:val="-4"/>
                <w:sz w:val="24"/>
                <w:highlight w:val="none"/>
              </w:rPr>
              <w:t>。</w:t>
            </w:r>
          </w:p>
          <w:p w14:paraId="10407A59">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w:t>
            </w:r>
            <w:r>
              <w:rPr>
                <w:spacing w:val="-4"/>
                <w:sz w:val="24"/>
                <w:highlight w:val="none"/>
              </w:rPr>
              <w:t>除图纸、图表外所用文字采用</w:t>
            </w:r>
            <w:r>
              <w:rPr>
                <w:spacing w:val="46"/>
                <w:sz w:val="24"/>
                <w:highlight w:val="none"/>
                <w:u w:val="single" w:color="auto"/>
              </w:rPr>
              <w:t xml:space="preserve"> </w:t>
            </w:r>
            <w:r>
              <w:rPr>
                <w:spacing w:val="-4"/>
                <w:sz w:val="24"/>
                <w:highlight w:val="none"/>
                <w:u w:val="single" w:color="auto"/>
              </w:rPr>
              <w:t>黑色宋体四号（含标题及目录</w:t>
            </w:r>
            <w:r>
              <w:rPr>
                <w:spacing w:val="1"/>
                <w:sz w:val="24"/>
                <w:highlight w:val="none"/>
                <w:u w:val="single" w:color="auto"/>
              </w:rPr>
              <w:t xml:space="preserve">） </w:t>
            </w:r>
            <w:r>
              <w:rPr>
                <w:spacing w:val="-94"/>
                <w:sz w:val="24"/>
                <w:highlight w:val="none"/>
              </w:rPr>
              <w:t xml:space="preserve"> </w:t>
            </w:r>
            <w:r>
              <w:rPr>
                <w:spacing w:val="1"/>
                <w:sz w:val="24"/>
                <w:highlight w:val="none"/>
              </w:rPr>
              <w:t>，</w:t>
            </w:r>
            <w:r>
              <w:rPr>
                <w:spacing w:val="-4"/>
                <w:sz w:val="24"/>
                <w:highlight w:val="none"/>
              </w:rPr>
              <w:t>图纸、图表中所</w:t>
            </w:r>
            <w:r>
              <w:rPr>
                <w:spacing w:val="-2"/>
                <w:sz w:val="24"/>
                <w:highlight w:val="none"/>
              </w:rPr>
              <w:t>有文字采用</w:t>
            </w:r>
            <w:r>
              <w:rPr>
                <w:spacing w:val="-2"/>
                <w:sz w:val="24"/>
                <w:highlight w:val="none"/>
                <w:u w:val="single" w:color="auto"/>
              </w:rPr>
              <w:t xml:space="preserve"> 黑色宋体五号 </w:t>
            </w:r>
            <w:r>
              <w:rPr>
                <w:spacing w:val="-2"/>
                <w:sz w:val="24"/>
                <w:highlight w:val="none"/>
              </w:rPr>
              <w:t>；</w:t>
            </w:r>
            <w:r>
              <w:rPr>
                <w:rFonts w:hint="default" w:ascii="Times New Roman" w:hAnsi="Times New Roman" w:cs="Times New Roman"/>
                <w:color w:val="000000"/>
                <w:sz w:val="24"/>
                <w:szCs w:val="24"/>
                <w:highlight w:val="none"/>
              </w:rPr>
              <w:t>不得有任何加粗、斜体、下划线、边框、底纹、阴影等标记。不得设置目录、页码、页眉、页脚；段落设置：</w:t>
            </w:r>
            <w:r>
              <w:rPr>
                <w:spacing w:val="-5"/>
                <w:sz w:val="24"/>
                <w:highlight w:val="none"/>
                <w:u w:val="single" w:color="auto"/>
              </w:rPr>
              <w:t>行距为固定值</w:t>
            </w:r>
            <w:r>
              <w:rPr>
                <w:spacing w:val="-25"/>
                <w:sz w:val="24"/>
                <w:highlight w:val="none"/>
                <w:u w:val="single" w:color="auto"/>
              </w:rPr>
              <w:t xml:space="preserve"> </w:t>
            </w:r>
            <w:r>
              <w:rPr>
                <w:rFonts w:ascii="Cambria" w:hAnsi="Cambria" w:eastAsia="Cambria" w:cs="Cambria"/>
                <w:spacing w:val="-5"/>
                <w:sz w:val="24"/>
                <w:highlight w:val="none"/>
                <w:u w:val="single" w:color="auto"/>
              </w:rPr>
              <w:t>18</w:t>
            </w:r>
            <w:r>
              <w:rPr>
                <w:rFonts w:ascii="Cambria" w:hAnsi="Cambria" w:eastAsia="Cambria" w:cs="Cambria"/>
                <w:spacing w:val="16"/>
                <w:sz w:val="24"/>
                <w:highlight w:val="none"/>
                <w:u w:val="single" w:color="auto"/>
              </w:rPr>
              <w:t xml:space="preserve"> </w:t>
            </w:r>
            <w:r>
              <w:rPr>
                <w:spacing w:val="-5"/>
                <w:sz w:val="24"/>
                <w:highlight w:val="none"/>
                <w:u w:val="single" w:color="auto"/>
              </w:rPr>
              <w:t>磅</w:t>
            </w:r>
            <w:r>
              <w:rPr>
                <w:spacing w:val="-5"/>
                <w:highlight w:val="none"/>
                <w:u w:val="single" w:color="auto"/>
              </w:rPr>
              <w:t xml:space="preserve"> </w:t>
            </w:r>
            <w:r>
              <w:rPr>
                <w:rFonts w:hint="default" w:ascii="Times New Roman" w:hAnsi="Times New Roman" w:cs="Times New Roman"/>
                <w:color w:val="000000"/>
                <w:sz w:val="24"/>
                <w:szCs w:val="24"/>
                <w:highlight w:val="none"/>
              </w:rPr>
              <w:t>，段落设置中</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如果定义了文档网格，则自动调整右缩进</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不打勾，</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如果定义了文档网格，则对齐到网格</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要打勾。</w:t>
            </w:r>
          </w:p>
          <w:p w14:paraId="72193180">
            <w:pPr>
              <w:pageBreakBefore w:val="0"/>
              <w:kinsoku/>
              <w:wordWrap w:val="0"/>
              <w:bidi w:val="0"/>
              <w:spacing w:line="440" w:lineRule="exact"/>
              <w:jc w:val="both"/>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000000"/>
                <w:sz w:val="24"/>
                <w:szCs w:val="24"/>
                <w:highlight w:val="none"/>
                <w:lang w:val="en-US" w:eastAsia="zh-CN"/>
              </w:rPr>
              <w:t>投标人</w:t>
            </w:r>
            <w:r>
              <w:rPr>
                <w:rFonts w:hint="default" w:ascii="Times New Roman" w:hAnsi="Times New Roman" w:cs="Times New Roman"/>
                <w:color w:val="000000"/>
                <w:sz w:val="24"/>
                <w:szCs w:val="24"/>
                <w:highlight w:val="none"/>
              </w:rPr>
              <w:t>或人员电子签章，不得出现其他不符合暗标要求的内容</w:t>
            </w:r>
            <w:r>
              <w:rPr>
                <w:rFonts w:hint="default" w:ascii="Times New Roman" w:hAnsi="Times New Roman" w:cs="Times New Roman"/>
                <w:color w:val="000000"/>
                <w:sz w:val="24"/>
                <w:szCs w:val="24"/>
                <w:highlight w:val="none"/>
                <w:lang w:eastAsia="zh-CN"/>
              </w:rPr>
              <w:t>。</w:t>
            </w:r>
          </w:p>
          <w:p w14:paraId="1BC4135A">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其他要求：</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本项目不采用暗标形式</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tc>
      </w:tr>
      <w:tr w14:paraId="233DAC4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3C6760">
            <w:pPr>
              <w:spacing w:line="275" w:lineRule="auto"/>
              <w:rPr>
                <w:rFonts w:hint="eastAsia" w:ascii="宋体" w:hAnsi="宋体" w:eastAsia="宋体" w:cs="宋体"/>
                <w:sz w:val="24"/>
                <w:highlight w:val="none"/>
              </w:rPr>
            </w:pPr>
          </w:p>
          <w:p w14:paraId="450D311C">
            <w:pPr>
              <w:spacing w:line="276" w:lineRule="auto"/>
              <w:rPr>
                <w:rFonts w:hint="eastAsia" w:ascii="宋体" w:hAnsi="宋体" w:eastAsia="宋体" w:cs="宋体"/>
                <w:sz w:val="24"/>
                <w:highlight w:val="none"/>
              </w:rPr>
            </w:pPr>
          </w:p>
          <w:p w14:paraId="11D37BB6">
            <w:pPr>
              <w:spacing w:line="276" w:lineRule="auto"/>
              <w:rPr>
                <w:rFonts w:hint="eastAsia" w:ascii="宋体" w:hAnsi="宋体" w:eastAsia="宋体" w:cs="宋体"/>
                <w:sz w:val="24"/>
                <w:highlight w:val="none"/>
              </w:rPr>
            </w:pPr>
          </w:p>
          <w:p w14:paraId="5F5675FA">
            <w:pPr>
              <w:spacing w:line="276" w:lineRule="auto"/>
              <w:rPr>
                <w:rFonts w:hint="eastAsia" w:ascii="宋体" w:hAnsi="宋体" w:eastAsia="宋体" w:cs="宋体"/>
                <w:sz w:val="24"/>
                <w:highlight w:val="none"/>
              </w:rPr>
            </w:pPr>
          </w:p>
          <w:p w14:paraId="53CAD1D8">
            <w:pPr>
              <w:spacing w:before="62" w:line="185" w:lineRule="auto"/>
              <w:ind w:left="39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5"/>
                <w:sz w:val="24"/>
                <w:szCs w:val="24"/>
                <w:highlight w:val="none"/>
              </w:rPr>
              <w:t>9.2</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4DC3A169">
            <w:pPr>
              <w:pStyle w:val="92"/>
              <w:spacing w:before="148" w:line="220" w:lineRule="auto"/>
              <w:ind w:left="1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投标人须知正文补充第</w:t>
            </w:r>
            <w:r>
              <w:rPr>
                <w:rFonts w:hint="eastAsia" w:ascii="宋体" w:hAnsi="宋体" w:eastAsia="宋体" w:cs="宋体"/>
                <w:spacing w:val="-36"/>
                <w:sz w:val="24"/>
                <w:szCs w:val="24"/>
                <w:highlight w:val="none"/>
              </w:rPr>
              <w:t xml:space="preserve"> </w:t>
            </w:r>
            <w:r>
              <w:rPr>
                <w:rFonts w:hint="eastAsia" w:ascii="宋体" w:hAnsi="宋体" w:eastAsia="宋体" w:cs="宋体"/>
                <w:spacing w:val="-8"/>
                <w:sz w:val="24"/>
                <w:szCs w:val="24"/>
                <w:highlight w:val="none"/>
              </w:rPr>
              <w:t>9.2</w:t>
            </w:r>
            <w:r>
              <w:rPr>
                <w:rFonts w:hint="eastAsia" w:ascii="宋体" w:hAnsi="宋体" w:eastAsia="宋体" w:cs="宋体"/>
                <w:spacing w:val="18"/>
                <w:sz w:val="24"/>
                <w:szCs w:val="24"/>
                <w:highlight w:val="none"/>
              </w:rPr>
              <w:t xml:space="preserve"> </w:t>
            </w:r>
            <w:r>
              <w:rPr>
                <w:rFonts w:hint="eastAsia" w:ascii="宋体" w:hAnsi="宋体" w:eastAsia="宋体" w:cs="宋体"/>
                <w:spacing w:val="-8"/>
                <w:sz w:val="24"/>
                <w:szCs w:val="24"/>
                <w:highlight w:val="none"/>
              </w:rPr>
              <w:t>款:</w:t>
            </w:r>
          </w:p>
          <w:p w14:paraId="0ED0A67D">
            <w:pPr>
              <w:pStyle w:val="92"/>
              <w:spacing w:before="315" w:line="338" w:lineRule="auto"/>
              <w:ind w:left="109" w:leftChars="0" w:right="16" w:righ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本项目实施过程中推广以工代赈，在确保工程</w:t>
            </w:r>
            <w:r>
              <w:rPr>
                <w:rFonts w:hint="eastAsia" w:ascii="宋体" w:hAnsi="宋体" w:eastAsia="宋体" w:cs="宋体"/>
                <w:spacing w:val="-1"/>
                <w:sz w:val="24"/>
                <w:highlight w:val="none"/>
              </w:rPr>
              <w:t>质量安全和符合进度要求等</w:t>
            </w:r>
            <w:r>
              <w:rPr>
                <w:rFonts w:hint="eastAsia" w:ascii="宋体" w:hAnsi="宋体" w:eastAsia="宋体" w:cs="宋体"/>
                <w:sz w:val="24"/>
                <w:highlight w:val="none"/>
              </w:rPr>
              <w:t>前提下，应充分挖掘主体工程建设及附属临</w:t>
            </w:r>
            <w:r>
              <w:rPr>
                <w:rFonts w:hint="eastAsia" w:ascii="宋体" w:hAnsi="宋体" w:eastAsia="宋体" w:cs="宋体"/>
                <w:spacing w:val="-1"/>
                <w:sz w:val="24"/>
                <w:highlight w:val="none"/>
              </w:rPr>
              <w:t>建、工地服务保障、建后管护</w:t>
            </w:r>
            <w:r>
              <w:rPr>
                <w:rFonts w:hint="eastAsia" w:ascii="宋体" w:hAnsi="宋体" w:eastAsia="宋体" w:cs="宋体"/>
                <w:sz w:val="24"/>
                <w:highlight w:val="none"/>
              </w:rPr>
              <w:t>等方面用工潜力，平衡好建设和管护领域劳</w:t>
            </w:r>
            <w:r>
              <w:rPr>
                <w:rFonts w:hint="eastAsia" w:ascii="宋体" w:hAnsi="宋体" w:eastAsia="宋体" w:cs="宋体"/>
                <w:spacing w:val="-1"/>
                <w:sz w:val="24"/>
                <w:highlight w:val="none"/>
              </w:rPr>
              <w:t>动合同制用工和以工代赈劳务</w:t>
            </w:r>
            <w:r>
              <w:rPr>
                <w:rFonts w:hint="eastAsia" w:ascii="宋体" w:hAnsi="宋体" w:eastAsia="宋体" w:cs="宋体"/>
                <w:spacing w:val="-3"/>
                <w:sz w:val="24"/>
                <w:highlight w:val="none"/>
              </w:rPr>
              <w:t>用工之间关系，尽可能多地通过以工代赈方式吸纳当地群众参与工程建设。</w:t>
            </w:r>
          </w:p>
        </w:tc>
      </w:tr>
      <w:tr w14:paraId="010DEE9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0C8E9">
            <w:pPr>
              <w:pageBreakBefore w:val="0"/>
              <w:kinsoku/>
              <w:wordWrap w:val="0"/>
              <w:bidi w:val="0"/>
              <w:spacing w:line="36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sz w:val="24"/>
                <w:szCs w:val="24"/>
                <w:highlight w:val="none"/>
                <w:lang w:val="en-US" w:eastAsia="zh-CN"/>
              </w:rPr>
              <w:t>9.3</w:t>
            </w:r>
          </w:p>
        </w:tc>
        <w:tc>
          <w:tcPr>
            <w:tcW w:w="79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FA94">
            <w:pPr>
              <w:wordWrap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w:t>
            </w:r>
            <w:r>
              <w:rPr>
                <w:rFonts w:hint="eastAsia" w:cs="Times New Roman"/>
                <w:color w:val="auto"/>
                <w:sz w:val="24"/>
                <w:szCs w:val="24"/>
                <w:highlight w:val="none"/>
                <w:lang w:val="en-US" w:eastAsia="zh-CN"/>
              </w:rPr>
              <w:t>9.3</w:t>
            </w:r>
            <w:r>
              <w:rPr>
                <w:rFonts w:hint="default" w:ascii="Times New Roman" w:hAnsi="Times New Roman" w:eastAsia="宋体" w:cs="Times New Roman"/>
                <w:color w:val="auto"/>
                <w:sz w:val="24"/>
                <w:szCs w:val="24"/>
                <w:highlight w:val="none"/>
              </w:rPr>
              <w:t>条：</w:t>
            </w:r>
          </w:p>
          <w:p w14:paraId="6F200845">
            <w:pPr>
              <w:pageBreakBefore w:val="0"/>
              <w:kinsoku/>
              <w:wordWrap w:val="0"/>
              <w:bidi w:val="0"/>
              <w:spacing w:line="36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招标人向承包人提供工程款支付担保额度</w:t>
            </w:r>
            <w:r>
              <w:rPr>
                <w:rFonts w:hint="default" w:ascii="Times New Roman" w:hAnsi="Times New Roman" w:eastAsia="宋体" w:cs="Times New Roman"/>
                <w:color w:val="auto"/>
                <w:sz w:val="24"/>
                <w:szCs w:val="24"/>
                <w:highlight w:val="none"/>
                <w:vertAlign w:val="superscript"/>
              </w:rPr>
              <w:footnoteReference w:id="10"/>
            </w:r>
            <w:r>
              <w:rPr>
                <w:rFonts w:hint="default" w:ascii="Times New Roman" w:hAnsi="Times New Roman" w:eastAsia="宋体" w:cs="Times New Roman"/>
                <w:color w:val="auto"/>
                <w:sz w:val="24"/>
                <w:szCs w:val="24"/>
                <w:highlight w:val="none"/>
              </w:rPr>
              <w:t>：签约合同价的[</w:t>
            </w:r>
            <w:sdt>
              <w:sdtPr>
                <w:rPr>
                  <w:rFonts w:hint="default" w:ascii="Times New Roman" w:hAnsi="Times New Roman" w:eastAsia="宋体" w:cs="Times New Roman"/>
                  <w:b/>
                  <w:bCs/>
                  <w:color w:val="auto"/>
                  <w:sz w:val="24"/>
                  <w:szCs w:val="24"/>
                  <w:highlight w:val="none"/>
                  <w:shd w:val="clear" w:color="auto" w:fill="FFFFFF"/>
                </w:rPr>
                <w:id w:val="1474779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5% </w:t>
            </w:r>
            <w:sdt>
              <w:sdtPr>
                <w:rPr>
                  <w:rFonts w:hint="default" w:ascii="Times New Roman" w:hAnsi="Times New Roman" w:eastAsia="宋体" w:cs="Times New Roman"/>
                  <w:b/>
                  <w:bCs/>
                  <w:color w:val="auto"/>
                  <w:sz w:val="24"/>
                  <w:szCs w:val="24"/>
                  <w:highlight w:val="none"/>
                  <w:shd w:val="clear" w:color="auto" w:fill="FFFFFF"/>
                </w:rPr>
                <w:id w:val="1474567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8% </w:t>
            </w:r>
            <w:sdt>
              <w:sdtPr>
                <w:rPr>
                  <w:rFonts w:hint="default" w:ascii="Times New Roman" w:hAnsi="Times New Roman" w:eastAsia="宋体" w:cs="Times New Roman"/>
                  <w:color w:val="auto"/>
                  <w:sz w:val="24"/>
                  <w:szCs w:val="24"/>
                  <w:highlight w:val="none"/>
                  <w:shd w:val="clear" w:color="auto" w:fill="FFFFFF"/>
                </w:rPr>
                <w:id w:val="147459087"/>
                <w14:checkbox>
                  <w14:checked w14:val="0"/>
                  <w14:checkedState w14:val="0052" w14:font="Wingdings 2"/>
                  <w14:uncheckedState w14:val="2610" w14:font="MS Gothic"/>
                </w14:checkbox>
              </w:sdtPr>
              <w:sdtEndPr>
                <w:rPr>
                  <w:rFonts w:hint="default" w:ascii="Times New Roman" w:hAnsi="Times New Roman" w:eastAsia="宋体" w:cs="Times New Roman"/>
                  <w:color w:val="auto"/>
                  <w:sz w:val="24"/>
                  <w:szCs w:val="24"/>
                  <w:highlight w:val="none"/>
                  <w:shd w:val="clear" w:color="auto" w:fill="FFFFFF"/>
                </w:rPr>
              </w:sdtEndPr>
              <w:sdtContent>
                <w:r>
                  <w:rPr>
                    <w:rFonts w:hint="default" w:ascii="MS Gothic" w:hAnsi="MS Gothic" w:eastAsia="宋体" w:cs="Times New Roman"/>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color w:val="auto"/>
                <w:sz w:val="24"/>
                <w:szCs w:val="24"/>
                <w:highlight w:val="none"/>
                <w:shd w:val="clear" w:color="auto" w:fill="FFFFFF"/>
              </w:rPr>
              <w:t>10</w:t>
            </w:r>
            <w:r>
              <w:rPr>
                <w:rFonts w:hint="default" w:ascii="Times New Roman" w:hAnsi="Times New Roman" w:eastAsia="宋体" w:cs="Times New Roman"/>
                <w:color w:val="auto"/>
                <w:sz w:val="24"/>
                <w:szCs w:val="24"/>
                <w:highlight w:val="none"/>
              </w:rPr>
              <w:t xml:space="preserve">% </w:t>
            </w:r>
            <w:sdt>
              <w:sdtPr>
                <w:rPr>
                  <w:rFonts w:hint="default" w:ascii="Times New Roman" w:hAnsi="Times New Roman" w:eastAsia="宋体" w:cs="Times New Roman"/>
                  <w:b/>
                  <w:bCs/>
                  <w:color w:val="auto"/>
                  <w:sz w:val="24"/>
                  <w:szCs w:val="24"/>
                  <w:highlight w:val="none"/>
                  <w:shd w:val="clear" w:color="auto" w:fill="FFFFFF"/>
                </w:rPr>
                <w:id w:val="147477915"/>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u w:val="single"/>
                <w:shd w:val="clear" w:color="auto" w:fill="FFFFFF"/>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32"/>
                <w:highlight w:val="none"/>
              </w:rPr>
              <w:t>原则上工程款支付担保额度应与履约担保额度相同，见7.7.1项。</w:t>
            </w:r>
            <w:r>
              <w:rPr>
                <w:rFonts w:hint="default" w:ascii="Times New Roman" w:hAnsi="Times New Roman" w:eastAsia="宋体" w:cs="Times New Roman"/>
                <w:color w:val="auto"/>
                <w:sz w:val="24"/>
                <w:szCs w:val="24"/>
                <w:highlight w:val="none"/>
              </w:rPr>
              <w:t>支付方式</w:t>
            </w:r>
            <w:r>
              <w:rPr>
                <w:rFonts w:hint="eastAsia"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项目专用合同条款</w:t>
            </w:r>
            <w:r>
              <w:rPr>
                <w:rFonts w:hint="default" w:ascii="Times New Roman" w:hAnsi="Times New Roman" w:eastAsia="宋体" w:cs="Times New Roman"/>
                <w:bCs/>
                <w:color w:val="auto"/>
                <w:sz w:val="24"/>
                <w:szCs w:val="24"/>
                <w:highlight w:val="none"/>
              </w:rPr>
              <w:t>相关约定</w:t>
            </w:r>
            <w:r>
              <w:rPr>
                <w:rFonts w:hint="eastAsia" w:ascii="Times New Roman" w:hAnsi="Times New Roman" w:eastAsia="宋体" w:cs="Times New Roman"/>
                <w:bCs/>
                <w:color w:val="auto"/>
                <w:sz w:val="24"/>
                <w:szCs w:val="24"/>
                <w:highlight w:val="none"/>
                <w:lang w:val="en-US" w:eastAsia="zh-CN"/>
              </w:rPr>
              <w:t>执行</w:t>
            </w:r>
            <w:r>
              <w:rPr>
                <w:rFonts w:hint="default" w:ascii="Times New Roman" w:hAnsi="Times New Roman" w:eastAsia="宋体" w:cs="Times New Roman"/>
                <w:bCs/>
                <w:color w:val="auto"/>
                <w:sz w:val="24"/>
                <w:szCs w:val="24"/>
                <w:highlight w:val="none"/>
              </w:rPr>
              <w:t>。</w:t>
            </w:r>
          </w:p>
        </w:tc>
      </w:tr>
      <w:tr w14:paraId="0EDC703A">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71DB6B">
            <w:pPr>
              <w:pageBreakBefore w:val="0"/>
              <w:kinsoku/>
              <w:wordWrap w:val="0"/>
              <w:bidi w:val="0"/>
              <w:spacing w:line="44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000000"/>
                <w:sz w:val="24"/>
                <w:szCs w:val="24"/>
                <w:highlight w:val="none"/>
                <w:lang w:val="en-US" w:eastAsia="zh-CN"/>
              </w:rPr>
              <w:t>9.4</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54294256">
            <w:pPr>
              <w:pageBreakBefore w:val="0"/>
              <w:kinsoku/>
              <w:wordWrap w:val="0"/>
              <w:bidi w:val="0"/>
              <w:spacing w:line="440" w:lineRule="exact"/>
              <w:jc w:val="left"/>
              <w:rPr>
                <w:rFonts w:hint="eastAsia" w:cs="Times New Roman"/>
                <w:color w:val="000000"/>
                <w:sz w:val="24"/>
                <w:szCs w:val="24"/>
                <w:highlight w:val="none"/>
                <w:lang w:val="en-US" w:eastAsia="zh-CN"/>
              </w:rPr>
            </w:pPr>
            <w:r>
              <w:rPr>
                <w:rFonts w:hint="eastAsia" w:cs="Times New Roman"/>
                <w:color w:val="000000"/>
                <w:sz w:val="24"/>
                <w:szCs w:val="24"/>
                <w:highlight w:val="none"/>
                <w:lang w:val="en-US" w:eastAsia="zh-CN"/>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4DAA04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7B5941">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补充</w:t>
            </w: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42E4840F">
            <w:pPr>
              <w:spacing w:before="69" w:line="328" w:lineRule="auto"/>
              <w:ind w:right="96"/>
              <w:jc w:val="left"/>
              <w:rPr>
                <w:rFonts w:ascii="宋体" w:hAnsi="宋体" w:eastAsia="宋体" w:cs="宋体"/>
                <w:sz w:val="23"/>
                <w:szCs w:val="23"/>
                <w:highlight w:val="none"/>
              </w:rPr>
            </w:pPr>
            <w:r>
              <w:rPr>
                <w:rFonts w:ascii="宋体" w:hAnsi="宋体" w:eastAsia="宋体" w:cs="宋体"/>
                <w:spacing w:val="14"/>
                <w:sz w:val="23"/>
                <w:szCs w:val="23"/>
                <w:highlight w:val="none"/>
              </w:rPr>
              <w:t>投标</w:t>
            </w:r>
            <w:r>
              <w:rPr>
                <w:rFonts w:ascii="宋体" w:hAnsi="宋体" w:eastAsia="宋体" w:cs="宋体"/>
                <w:spacing w:val="7"/>
                <w:sz w:val="23"/>
                <w:szCs w:val="23"/>
                <w:highlight w:val="none"/>
              </w:rPr>
              <w:t>人应根据《公路水运工程安全生产监督管理办法》 以及《关于印发</w:t>
            </w:r>
            <w:r>
              <w:rPr>
                <w:rFonts w:ascii="Times New Roman" w:hAnsi="Times New Roman" w:eastAsia="Times New Roman" w:cs="Times New Roman"/>
                <w:spacing w:val="7"/>
                <w:sz w:val="23"/>
                <w:szCs w:val="23"/>
                <w:highlight w:val="none"/>
              </w:rPr>
              <w:t>&lt;</w:t>
            </w:r>
            <w:r>
              <w:rPr>
                <w:rFonts w:ascii="Times New Roman" w:hAnsi="Times New Roman" w:eastAsia="Times New Roman" w:cs="Times New Roman"/>
                <w:sz w:val="23"/>
                <w:szCs w:val="23"/>
                <w:highlight w:val="none"/>
              </w:rPr>
              <w:t xml:space="preserve"> </w:t>
            </w:r>
            <w:r>
              <w:rPr>
                <w:rFonts w:ascii="宋体" w:hAnsi="宋体" w:eastAsia="宋体" w:cs="宋体"/>
                <w:spacing w:val="7"/>
                <w:sz w:val="23"/>
                <w:szCs w:val="23"/>
                <w:highlight w:val="none"/>
              </w:rPr>
              <w:t>企</w:t>
            </w:r>
            <w:r>
              <w:rPr>
                <w:rFonts w:ascii="宋体" w:hAnsi="宋体" w:eastAsia="宋体" w:cs="宋体"/>
                <w:spacing w:val="5"/>
                <w:sz w:val="23"/>
                <w:szCs w:val="23"/>
                <w:highlight w:val="none"/>
              </w:rPr>
              <w:t>业安全生产</w:t>
            </w:r>
            <w:r>
              <w:rPr>
                <w:rFonts w:hint="eastAsia" w:ascii="宋体" w:hAnsi="宋体" w:eastAsia="宋体" w:cs="宋体"/>
                <w:spacing w:val="5"/>
                <w:sz w:val="23"/>
                <w:szCs w:val="23"/>
                <w:highlight w:val="none"/>
              </w:rPr>
              <w:t>费用提取和使用管理办法&gt;的通知》  (财企〔2012〕16 号) 的规</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定</w:t>
            </w:r>
            <w:r>
              <w:rPr>
                <w:rFonts w:hint="eastAsia" w:ascii="宋体" w:hAnsi="宋体" w:eastAsia="宋体" w:cs="宋体"/>
                <w:spacing w:val="8"/>
                <w:sz w:val="23"/>
                <w:szCs w:val="23"/>
                <w:highlight w:val="none"/>
              </w:rPr>
              <w:t>，在投标总价中计入安全生产费用，</w:t>
            </w:r>
            <w:r>
              <w:rPr>
                <w:rFonts w:hint="eastAsia" w:ascii="宋体" w:hAnsi="宋体" w:eastAsia="宋体" w:cs="宋体"/>
                <w:b/>
                <w:bCs/>
                <w:spacing w:val="8"/>
                <w:sz w:val="23"/>
                <w:szCs w:val="23"/>
                <w:highlight w:val="none"/>
              </w:rPr>
              <w:t>安全生产费用以固定金额形式计入工程</w:t>
            </w:r>
            <w:r>
              <w:rPr>
                <w:rFonts w:hint="eastAsia" w:ascii="宋体" w:hAnsi="宋体" w:eastAsia="宋体" w:cs="宋体"/>
                <w:b/>
                <w:bCs/>
                <w:sz w:val="23"/>
                <w:szCs w:val="23"/>
                <w:highlight w:val="none"/>
              </w:rPr>
              <w:t xml:space="preserve"> </w:t>
            </w:r>
            <w:r>
              <w:rPr>
                <w:rFonts w:hint="eastAsia" w:ascii="宋体" w:hAnsi="宋体" w:eastAsia="宋体" w:cs="宋体"/>
                <w:b/>
                <w:bCs/>
                <w:spacing w:val="7"/>
                <w:sz w:val="23"/>
                <w:szCs w:val="23"/>
                <w:highlight w:val="none"/>
              </w:rPr>
              <w:t xml:space="preserve">量清单第 100 章中 </w:t>
            </w:r>
            <w:r>
              <w:rPr>
                <w:rFonts w:hint="eastAsia" w:ascii="宋体" w:hAnsi="宋体" w:eastAsia="宋体" w:cs="宋体"/>
                <w:b/>
                <w:bCs/>
                <w:spacing w:val="7"/>
                <w:sz w:val="23"/>
                <w:szCs w:val="23"/>
                <w:highlight w:val="none"/>
              </w:rPr>
              <w:t>(安全生产费用为招标人公布的最高投标限价的 1.5％</w:t>
            </w:r>
            <w:r>
              <w:rPr>
                <w:rFonts w:hint="eastAsia" w:ascii="宋体" w:hAnsi="宋体" w:eastAsia="宋体" w:cs="宋体"/>
                <w:b/>
                <w:bCs/>
                <w:spacing w:val="7"/>
                <w:sz w:val="23"/>
                <w:szCs w:val="23"/>
                <w:highlight w:val="none"/>
                <w:lang w:eastAsia="zh-CN"/>
              </w:rPr>
              <w:t>，</w:t>
            </w:r>
            <w:r>
              <w:rPr>
                <w:rFonts w:hint="eastAsia" w:ascii="宋体" w:hAnsi="宋体" w:eastAsia="宋体" w:cs="宋体"/>
                <w:b/>
                <w:bCs/>
                <w:spacing w:val="7"/>
                <w:sz w:val="23"/>
                <w:szCs w:val="23"/>
                <w:highlight w:val="none"/>
              </w:rPr>
              <w:t>安全生产费用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7"/>
                <w:sz w:val="23"/>
                <w:szCs w:val="23"/>
                <w:highlight w:val="none"/>
              </w:rPr>
              <w:t xml:space="preserve">) </w:t>
            </w:r>
            <w:r>
              <w:rPr>
                <w:rFonts w:hint="eastAsia" w:ascii="宋体" w:hAnsi="宋体" w:eastAsia="宋体" w:cs="宋体"/>
                <w:b/>
                <w:bCs/>
                <w:sz w:val="23"/>
                <w:szCs w:val="23"/>
                <w:highlight w:val="none"/>
              </w:rPr>
              <w:t>，</w:t>
            </w:r>
            <w:r>
              <w:rPr>
                <w:rFonts w:hint="eastAsia" w:ascii="宋体" w:hAnsi="宋体" w:eastAsia="宋体" w:cs="宋体"/>
                <w:b/>
                <w:bCs/>
                <w:sz w:val="23"/>
                <w:szCs w:val="23"/>
                <w:highlight w:val="none"/>
              </w:rPr>
              <w:t xml:space="preserve"> </w:t>
            </w:r>
            <w:r>
              <w:rPr>
                <w:rFonts w:hint="eastAsia" w:ascii="宋体" w:hAnsi="宋体" w:eastAsia="宋体" w:cs="宋体"/>
                <w:spacing w:val="15"/>
                <w:sz w:val="23"/>
                <w:szCs w:val="23"/>
                <w:highlight w:val="none"/>
              </w:rPr>
              <w:t>投</w:t>
            </w:r>
            <w:r>
              <w:rPr>
                <w:rFonts w:hint="eastAsia" w:ascii="宋体" w:hAnsi="宋体" w:eastAsia="宋体" w:cs="宋体"/>
                <w:spacing w:val="8"/>
                <w:sz w:val="23"/>
                <w:szCs w:val="23"/>
                <w:highlight w:val="none"/>
              </w:rPr>
              <w:t>标人在投标报价时不得对该固定金额进行调整。如投标人须在此基础上增加</w:t>
            </w:r>
            <w:r>
              <w:rPr>
                <w:rFonts w:hint="eastAsia" w:ascii="宋体" w:hAnsi="宋体" w:eastAsia="宋体" w:cs="宋体"/>
                <w:spacing w:val="13"/>
                <w:sz w:val="23"/>
                <w:szCs w:val="23"/>
                <w:highlight w:val="none"/>
              </w:rPr>
              <w:t>安</w:t>
            </w:r>
            <w:r>
              <w:rPr>
                <w:rFonts w:hint="eastAsia" w:ascii="宋体" w:hAnsi="宋体" w:eastAsia="宋体" w:cs="宋体"/>
                <w:spacing w:val="8"/>
                <w:sz w:val="23"/>
                <w:szCs w:val="23"/>
                <w:highlight w:val="none"/>
              </w:rPr>
              <w:t>全生产费用以满足项目施工需要，则投标人应在本项目工程量清单其它</w:t>
            </w:r>
            <w:r>
              <w:rPr>
                <w:rFonts w:ascii="宋体" w:hAnsi="宋体" w:eastAsia="宋体" w:cs="宋体"/>
                <w:spacing w:val="8"/>
                <w:sz w:val="23"/>
                <w:szCs w:val="23"/>
                <w:highlight w:val="none"/>
              </w:rPr>
              <w:t>相关</w:t>
            </w:r>
            <w:r>
              <w:rPr>
                <w:rFonts w:ascii="宋体" w:hAnsi="宋体" w:eastAsia="宋体" w:cs="宋体"/>
                <w:sz w:val="23"/>
                <w:szCs w:val="23"/>
                <w:highlight w:val="none"/>
              </w:rPr>
              <w:t xml:space="preserve"> </w:t>
            </w:r>
            <w:r>
              <w:rPr>
                <w:rFonts w:ascii="宋体" w:hAnsi="宋体" w:eastAsia="宋体" w:cs="宋体"/>
                <w:spacing w:val="13"/>
                <w:sz w:val="23"/>
                <w:szCs w:val="23"/>
                <w:highlight w:val="none"/>
              </w:rPr>
              <w:t>子</w:t>
            </w:r>
            <w:r>
              <w:rPr>
                <w:rFonts w:ascii="宋体" w:hAnsi="宋体" w:eastAsia="宋体" w:cs="宋体"/>
                <w:spacing w:val="9"/>
                <w:sz w:val="23"/>
                <w:szCs w:val="23"/>
                <w:highlight w:val="none"/>
              </w:rPr>
              <w:t>目的单价或总额价中予以考虑，发包人不再单独支付。</w:t>
            </w:r>
          </w:p>
          <w:p w14:paraId="6205632B">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ascii="宋体" w:hAnsi="宋体" w:eastAsia="宋体" w:cs="宋体"/>
                <w:spacing w:val="18"/>
                <w:sz w:val="23"/>
                <w:szCs w:val="23"/>
                <w:highlight w:val="none"/>
              </w:rPr>
              <w:t>承包</w:t>
            </w:r>
            <w:r>
              <w:rPr>
                <w:rFonts w:ascii="宋体" w:hAnsi="宋体" w:eastAsia="宋体" w:cs="宋体"/>
                <w:spacing w:val="13"/>
                <w:sz w:val="23"/>
                <w:szCs w:val="23"/>
                <w:highlight w:val="none"/>
              </w:rPr>
              <w:t>人</w:t>
            </w:r>
            <w:r>
              <w:rPr>
                <w:rFonts w:ascii="宋体" w:hAnsi="宋体" w:eastAsia="宋体" w:cs="宋体"/>
                <w:spacing w:val="9"/>
                <w:sz w:val="23"/>
                <w:szCs w:val="23"/>
                <w:highlight w:val="none"/>
              </w:rPr>
              <w:t>的施工安全生产费用，应当用于施工安全防护用具及设施的采购和</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更</w:t>
            </w:r>
            <w:r>
              <w:rPr>
                <w:rFonts w:ascii="宋体" w:hAnsi="宋体" w:eastAsia="宋体" w:cs="宋体"/>
                <w:spacing w:val="9"/>
                <w:sz w:val="23"/>
                <w:szCs w:val="23"/>
                <w:highlight w:val="none"/>
              </w:rPr>
              <w:t>新、安全施工措施的落实、安全生产条件的改善，不得挪作他用。</w:t>
            </w:r>
          </w:p>
        </w:tc>
      </w:tr>
      <w:tr w14:paraId="62E6A2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67920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F3699A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960A052">
            <w:pPr>
              <w:pageBreakBefore w:val="0"/>
              <w:kinsoku/>
              <w:wordWrap w:val="0"/>
              <w:bidi w:val="0"/>
              <w:spacing w:line="440" w:lineRule="exact"/>
              <w:jc w:val="left"/>
              <w:rPr>
                <w:rFonts w:hint="eastAsia" w:ascii="宋体" w:hAnsi="宋体" w:eastAsia="宋体" w:cs="宋体"/>
                <w:b/>
                <w:bCs/>
                <w:spacing w:val="18"/>
                <w:sz w:val="23"/>
                <w:szCs w:val="23"/>
                <w:highlight w:val="none"/>
              </w:rPr>
            </w:pPr>
            <w:r>
              <w:rPr>
                <w:rFonts w:hint="eastAsia" w:ascii="宋体" w:hAnsi="宋体" w:eastAsia="宋体" w:cs="宋体"/>
                <w:b/>
                <w:bCs/>
                <w:spacing w:val="18"/>
                <w:sz w:val="23"/>
                <w:szCs w:val="23"/>
                <w:highlight w:val="none"/>
              </w:rPr>
              <w:t>本项目最高投标限价</w:t>
            </w:r>
            <w:r>
              <w:rPr>
                <w:rFonts w:hint="eastAsia" w:ascii="宋体" w:hAnsi="宋体" w:cs="宋体"/>
                <w:b/>
                <w:bCs/>
                <w:spacing w:val="18"/>
                <w:sz w:val="23"/>
                <w:szCs w:val="23"/>
                <w:highlight w:val="none"/>
                <w:lang w:val="en-US" w:eastAsia="zh-CN"/>
              </w:rPr>
              <w:t xml:space="preserve">    元</w:t>
            </w:r>
            <w:r>
              <w:rPr>
                <w:rFonts w:hint="eastAsia" w:ascii="宋体" w:hAnsi="宋体" w:eastAsia="宋体" w:cs="宋体"/>
                <w:b/>
                <w:bCs/>
                <w:spacing w:val="18"/>
                <w:sz w:val="23"/>
                <w:szCs w:val="23"/>
                <w:highlight w:val="none"/>
              </w:rPr>
              <w:t>，</w:t>
            </w:r>
            <w:r>
              <w:rPr>
                <w:rFonts w:hint="default" w:ascii="宋体" w:hAnsi="宋体" w:eastAsia="宋体" w:cs="宋体"/>
                <w:b/>
                <w:bCs/>
                <w:spacing w:val="18"/>
                <w:sz w:val="23"/>
                <w:szCs w:val="23"/>
                <w:highlight w:val="none"/>
              </w:rPr>
              <w:t>其中含</w:t>
            </w:r>
            <w:r>
              <w:rPr>
                <w:rFonts w:hint="eastAsia" w:ascii="宋体" w:hAnsi="宋体" w:cs="宋体"/>
                <w:b/>
                <w:bCs/>
                <w:spacing w:val="18"/>
                <w:sz w:val="23"/>
                <w:szCs w:val="23"/>
                <w:highlight w:val="none"/>
                <w:lang w:val="en-US" w:eastAsia="zh-CN"/>
              </w:rPr>
              <w:t>暂列金额</w:t>
            </w:r>
            <w:r>
              <w:rPr>
                <w:rFonts w:hint="default" w:ascii="宋体" w:hAnsi="宋体" w:eastAsia="宋体" w:cs="宋体"/>
                <w:b/>
                <w:bCs/>
                <w:spacing w:val="18"/>
                <w:sz w:val="23"/>
                <w:szCs w:val="23"/>
                <w:highlight w:val="none"/>
              </w:rPr>
              <w:t xml:space="preserve">  元</w:t>
            </w:r>
            <w:r>
              <w:rPr>
                <w:rFonts w:hint="eastAsia" w:ascii="宋体" w:hAnsi="宋体" w:eastAsia="宋体" w:cs="宋体"/>
                <w:b/>
                <w:bCs/>
                <w:spacing w:val="18"/>
                <w:sz w:val="23"/>
                <w:szCs w:val="23"/>
                <w:highlight w:val="none"/>
                <w:lang w:val="en-US" w:eastAsia="zh-CN"/>
              </w:rPr>
              <w:t>(含税)</w:t>
            </w:r>
            <w:r>
              <w:rPr>
                <w:rFonts w:hint="eastAsia" w:ascii="宋体" w:hAnsi="宋体" w:cs="宋体"/>
                <w:b/>
                <w:bCs/>
                <w:spacing w:val="18"/>
                <w:sz w:val="23"/>
                <w:szCs w:val="23"/>
                <w:highlight w:val="none"/>
                <w:lang w:val="en-US" w:eastAsia="zh-CN"/>
              </w:rPr>
              <w:t>，</w:t>
            </w:r>
            <w:r>
              <w:rPr>
                <w:rFonts w:hint="eastAsia" w:ascii="宋体" w:hAnsi="宋体" w:eastAsia="宋体" w:cs="宋体"/>
                <w:b/>
                <w:bCs/>
                <w:spacing w:val="18"/>
                <w:sz w:val="23"/>
                <w:szCs w:val="23"/>
                <w:highlight w:val="none"/>
              </w:rPr>
              <w:t>安全生</w:t>
            </w:r>
            <w:r>
              <w:rPr>
                <w:rFonts w:hint="eastAsia" w:ascii="宋体" w:hAnsi="宋体" w:eastAsia="宋体" w:cs="宋体"/>
                <w:b/>
                <w:bCs/>
                <w:spacing w:val="7"/>
                <w:sz w:val="23"/>
                <w:szCs w:val="23"/>
                <w:highlight w:val="none"/>
              </w:rPr>
              <w:t>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18"/>
                <w:sz w:val="23"/>
                <w:szCs w:val="23"/>
                <w:highlight w:val="none"/>
              </w:rPr>
              <w:t>。</w:t>
            </w:r>
          </w:p>
          <w:p w14:paraId="313E625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3.2.9 投标报价的其他要求：</w:t>
            </w:r>
          </w:p>
          <w:p w14:paraId="4792AD1B">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 施工用电和水应由投标人自行调查解决，所需费用均应已含入工程 量清单各支付子目的单价或总额价中，并计入签约合同价，招标人将不另行支付。</w:t>
            </w:r>
          </w:p>
          <w:p w14:paraId="7C7011F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(2) 中标人应根据工程实际情况确定临时占地最长使用期限，临时占地 的租地费用由投标人在投标阶段综合考虑并计入相关清单子目报价中，招标人将不另行支付。</w:t>
            </w:r>
          </w:p>
          <w:p w14:paraId="44DD9C1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 投标人的投标报价中应含各类保险费。各类保险费均应已含入工程 量清单各支付子目的单价中，并计入签约合同价，招标人将不另行支付。</w:t>
            </w:r>
          </w:p>
          <w:p w14:paraId="7760893C">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(4) 投标人的投标价应包括投标人完成本招标项目施工、缺陷修复工作 的全部费用。投标人应依据相应的工程量计算规则和定额等计价依据计算报 价。</w:t>
            </w:r>
          </w:p>
          <w:p w14:paraId="50E2385A">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(5) 投标人应自行踏勘现场以充分了解工地位置、情况、道路、储存空 间、装卸限制及任何其他足以影响投标报价的情况，任何因忽视或误解工地情 况而导致的索赔或工期延长申请将不被批准。</w:t>
            </w:r>
          </w:p>
          <w:p w14:paraId="0097BB71">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72DFD1D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(7) 投标人应充分考虑采购</w:t>
            </w:r>
            <w:r>
              <w:rPr>
                <w:rFonts w:hint="eastAsia" w:ascii="宋体" w:hAnsi="宋体" w:eastAsia="宋体" w:cs="宋体"/>
                <w:spacing w:val="18"/>
                <w:sz w:val="23"/>
                <w:szCs w:val="23"/>
                <w:highlight w:val="none"/>
              </w:rPr>
              <w:t>满足招标人要求的材料所需的一切费用，所 需费用均应已含入工程量清单各支付子目的单价或总额价中，并计入签约合同 价，招标人将不另行支付。</w:t>
            </w:r>
          </w:p>
          <w:p w14:paraId="320C6869">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(8) 投标人应充分考虑将本项目旧钢护栏、旧标志标牌等原有设施 (如 有) 运送到招标人指定地点以及对已有的里程碑、百米桩进行维护所需的一切 费用，上述材料及设施归招标人所有，所需运输费用均已含入工程量清单各支 付子目的单价或总额价中，并计入签约合同价，招标人将不另行支付。投标人在投标报价时无需单独考虑该部分费用。</w:t>
            </w:r>
          </w:p>
          <w:p w14:paraId="6C32DAB7">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(9) 投标人应充分考虑本项目施工过程中为保证道路通行所采取的各项 必要措施，所需费用均已含入工程量清单各支付子目的单价或总额价中，并计 入签约合同价，</w:t>
            </w:r>
            <w:r>
              <w:rPr>
                <w:rFonts w:hint="eastAsia" w:ascii="宋体" w:hAnsi="宋体" w:eastAsia="宋体" w:cs="宋体"/>
                <w:spacing w:val="18"/>
                <w:sz w:val="23"/>
                <w:szCs w:val="23"/>
                <w:highlight w:val="none"/>
              </w:rPr>
              <w:t>招标人将不另行支付。</w:t>
            </w:r>
          </w:p>
          <w:p w14:paraId="5D3C7565">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(10) 投标人应充分考虑不间断施工所需的生产生活相关费用，所需费用 均已含入工程量清单各支付子目的单价或总额价中，并计入签约合同价，招标 人将不另行支付。</w:t>
            </w:r>
          </w:p>
          <w:p w14:paraId="19F7C10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51DCE81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(12) 投标人应充分考虑本项目施工可能与其他工程等发生的干扰与交 叉，并将因此带来的费用含入工程量清单各支付子目的单价或总额价中，并计 入签约合同价，招标人将不另行支付。</w:t>
            </w:r>
          </w:p>
          <w:p w14:paraId="212C47E9">
            <w:pPr>
              <w:pageBreakBefore w:val="0"/>
              <w:kinsoku/>
              <w:wordWrap w:val="0"/>
              <w:bidi w:val="0"/>
              <w:spacing w:line="440" w:lineRule="exact"/>
              <w:jc w:val="left"/>
              <w:rPr>
                <w:rFonts w:ascii="宋体" w:hAnsi="宋体" w:eastAsia="宋体" w:cs="宋体"/>
                <w:spacing w:val="18"/>
                <w:sz w:val="23"/>
                <w:szCs w:val="23"/>
                <w:highlight w:val="none"/>
              </w:rPr>
            </w:pPr>
            <w:r>
              <w:rPr>
                <w:rFonts w:hint="eastAsia" w:ascii="宋体" w:hAnsi="宋体" w:eastAsia="宋体" w:cs="宋体"/>
                <w:spacing w:val="18"/>
                <w:sz w:val="23"/>
                <w:szCs w:val="23"/>
                <w:highlight w:val="none"/>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14:paraId="25B8D41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779A0A">
            <w:pPr>
              <w:pageBreakBefore w:val="0"/>
              <w:kinsoku/>
              <w:wordWrap w:val="0"/>
              <w:bidi w:val="0"/>
              <w:spacing w:line="440" w:lineRule="exact"/>
              <w:jc w:val="both"/>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74A86E2B">
            <w:pPr>
              <w:pageBreakBefore w:val="0"/>
              <w:kinsoku/>
              <w:wordWrap w:val="0"/>
              <w:bidi w:val="0"/>
              <w:spacing w:line="440" w:lineRule="exact"/>
              <w:jc w:val="left"/>
              <w:rPr>
                <w:rFonts w:ascii="宋体" w:hAnsi="宋体" w:eastAsia="宋体" w:cs="宋体"/>
                <w:spacing w:val="18"/>
                <w:sz w:val="23"/>
                <w:szCs w:val="23"/>
                <w:highlight w:val="none"/>
              </w:rPr>
            </w:pPr>
            <w:r>
              <w:rPr>
                <w:rFonts w:ascii="黑体" w:hAnsi="黑体" w:eastAsia="黑体" w:cs="黑体"/>
                <w:spacing w:val="2"/>
                <w:sz w:val="23"/>
                <w:szCs w:val="23"/>
                <w:highlight w:val="none"/>
              </w:rPr>
              <w:t>投标文件第一个信封(商务及技术文件)不</w:t>
            </w:r>
            <w:r>
              <w:rPr>
                <w:rFonts w:ascii="黑体" w:hAnsi="黑体" w:eastAsia="黑体" w:cs="黑体"/>
                <w:spacing w:val="1"/>
                <w:sz w:val="23"/>
                <w:szCs w:val="23"/>
                <w:highlight w:val="none"/>
              </w:rPr>
              <w:t>应出现有关投标报价的内容</w:t>
            </w:r>
          </w:p>
        </w:tc>
      </w:tr>
      <w:tr w14:paraId="69C9C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6BB64D">
            <w:pPr>
              <w:pageBreakBefore w:val="0"/>
              <w:kinsoku/>
              <w:wordWrap w:val="0"/>
              <w:bidi w:val="0"/>
              <w:spacing w:line="440" w:lineRule="exact"/>
              <w:jc w:val="center"/>
              <w:rPr>
                <w:rFonts w:hint="eastAsia" w:cs="Times New Roman"/>
                <w:strike/>
                <w:dstrike w:val="0"/>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62422ADC">
            <w:pPr>
              <w:pageBreakBefore w:val="0"/>
              <w:kinsoku/>
              <w:wordWrap w:val="0"/>
              <w:bidi w:val="0"/>
              <w:spacing w:line="440" w:lineRule="exact"/>
              <w:jc w:val="left"/>
              <w:rPr>
                <w:rFonts w:ascii="宋体" w:hAnsi="宋体" w:eastAsia="宋体" w:cs="宋体"/>
                <w:strike/>
                <w:dstrike w:val="0"/>
                <w:spacing w:val="18"/>
                <w:sz w:val="23"/>
                <w:szCs w:val="23"/>
                <w:highlight w:val="none"/>
              </w:rPr>
            </w:pPr>
            <w:r>
              <w:rPr>
                <w:rFonts w:hint="eastAsia" w:ascii="黑体" w:hAnsi="黑体" w:eastAsia="黑体" w:cs="黑体"/>
                <w:spacing w:val="2"/>
                <w:sz w:val="23"/>
                <w:szCs w:val="23"/>
                <w:highlight w:val="none"/>
              </w:rPr>
              <w:t>如遇投标工程量清单或平台操作等问题可与新点软件王工联系13019466009</w:t>
            </w:r>
          </w:p>
        </w:tc>
      </w:tr>
      <w:tr w14:paraId="71F33F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0D7F9">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202B4AF2">
            <w:pPr>
              <w:spacing w:before="112" w:line="231" w:lineRule="auto"/>
              <w:ind w:left="105"/>
              <w:rPr>
                <w:rFonts w:ascii="黑体" w:hAnsi="黑体" w:eastAsia="黑体" w:cs="黑体"/>
                <w:sz w:val="23"/>
                <w:szCs w:val="23"/>
                <w:highlight w:val="none"/>
              </w:rPr>
            </w:pPr>
            <w:r>
              <w:rPr>
                <w:rFonts w:ascii="Times New Roman" w:hAnsi="Times New Roman" w:eastAsia="Times New Roman" w:cs="Times New Roman"/>
                <w:spacing w:val="5"/>
                <w:sz w:val="23"/>
                <w:szCs w:val="23"/>
                <w:highlight w:val="none"/>
              </w:rPr>
              <w:t xml:space="preserve"> </w:t>
            </w:r>
            <w:r>
              <w:rPr>
                <w:rFonts w:ascii="Times New Roman" w:hAnsi="Times New Roman" w:eastAsia="Times New Roman" w:cs="Times New Roman"/>
                <w:spacing w:val="8"/>
                <w:sz w:val="23"/>
                <w:szCs w:val="23"/>
                <w:highlight w:val="none"/>
              </w:rPr>
              <w:t>7</w:t>
            </w:r>
            <w:r>
              <w:rPr>
                <w:rFonts w:ascii="Times New Roman" w:hAnsi="Times New Roman" w:eastAsia="Times New Roman" w:cs="Times New Roman"/>
                <w:spacing w:val="5"/>
                <w:sz w:val="23"/>
                <w:szCs w:val="23"/>
                <w:highlight w:val="none"/>
              </w:rPr>
              <w:t xml:space="preserve">.8  </w:t>
            </w:r>
            <w:r>
              <w:rPr>
                <w:rFonts w:ascii="黑体" w:hAnsi="黑体" w:eastAsia="黑体" w:cs="黑体"/>
                <w:spacing w:val="5"/>
                <w:sz w:val="23"/>
                <w:szCs w:val="23"/>
                <w:highlight w:val="none"/>
              </w:rPr>
              <w:t>签订合同</w:t>
            </w:r>
          </w:p>
          <w:p w14:paraId="2D136AE9">
            <w:pPr>
              <w:spacing w:before="113"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7.8.6 </w:t>
            </w:r>
            <w:r>
              <w:rPr>
                <w:rFonts w:ascii="宋体" w:hAnsi="宋体" w:eastAsia="宋体" w:cs="宋体"/>
                <w:sz w:val="23"/>
                <w:szCs w:val="23"/>
                <w:highlight w:val="none"/>
              </w:rPr>
              <w:t>项：</w:t>
            </w:r>
          </w:p>
          <w:p w14:paraId="398830A2">
            <w:pPr>
              <w:spacing w:before="115" w:line="229" w:lineRule="auto"/>
              <w:ind w:left="585"/>
              <w:rPr>
                <w:rFonts w:ascii="黑体" w:hAnsi="黑体" w:eastAsia="黑体" w:cs="黑体"/>
                <w:sz w:val="23"/>
                <w:szCs w:val="23"/>
                <w:highlight w:val="none"/>
              </w:rPr>
            </w:pPr>
            <w:r>
              <w:rPr>
                <w:rFonts w:ascii="Times New Roman" w:hAnsi="Times New Roman" w:eastAsia="Times New Roman" w:cs="Times New Roman"/>
                <w:spacing w:val="7"/>
                <w:sz w:val="23"/>
                <w:szCs w:val="23"/>
                <w:highlight w:val="none"/>
              </w:rPr>
              <w:t>7</w:t>
            </w:r>
            <w:r>
              <w:rPr>
                <w:rFonts w:ascii="Times New Roman" w:hAnsi="Times New Roman" w:eastAsia="Times New Roman" w:cs="Times New Roman"/>
                <w:spacing w:val="6"/>
                <w:sz w:val="23"/>
                <w:szCs w:val="23"/>
                <w:highlight w:val="none"/>
              </w:rPr>
              <w:t xml:space="preserve">.8.6 </w:t>
            </w:r>
            <w:r>
              <w:rPr>
                <w:rFonts w:ascii="黑体" w:hAnsi="黑体" w:eastAsia="黑体" w:cs="黑体"/>
                <w:spacing w:val="6"/>
                <w:sz w:val="23"/>
                <w:szCs w:val="23"/>
                <w:highlight w:val="none"/>
              </w:rPr>
              <w:t>人员履约要求</w:t>
            </w:r>
          </w:p>
          <w:p w14:paraId="3158B9C4">
            <w:pPr>
              <w:spacing w:before="116" w:line="321" w:lineRule="auto"/>
              <w:ind w:left="108" w:right="97" w:firstLine="499"/>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在收到中标通知书后，应及时向招标人报送满足要求的其他管理人</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员、其他设备的详细资料【详见合同附件格式《附件四  其他管理和技术人</w:t>
            </w:r>
            <w:r>
              <w:rPr>
                <w:rFonts w:ascii="宋体" w:hAnsi="宋体" w:eastAsia="宋体" w:cs="宋体"/>
                <w:spacing w:val="7"/>
                <w:sz w:val="23"/>
                <w:szCs w:val="23"/>
                <w:highlight w:val="none"/>
              </w:rPr>
              <w:t>员</w:t>
            </w:r>
            <w:r>
              <w:rPr>
                <w:rFonts w:ascii="宋体" w:hAnsi="宋体" w:eastAsia="宋体" w:cs="宋体"/>
                <w:sz w:val="23"/>
                <w:szCs w:val="23"/>
                <w:highlight w:val="none"/>
              </w:rPr>
              <w:t xml:space="preserve"> </w:t>
            </w:r>
            <w:r>
              <w:rPr>
                <w:rFonts w:ascii="宋体" w:hAnsi="宋体" w:eastAsia="宋体" w:cs="宋体"/>
                <w:spacing w:val="15"/>
                <w:sz w:val="23"/>
                <w:szCs w:val="23"/>
                <w:highlight w:val="none"/>
              </w:rPr>
              <w:t>最</w:t>
            </w:r>
            <w:r>
              <w:rPr>
                <w:rFonts w:ascii="宋体" w:hAnsi="宋体" w:eastAsia="宋体" w:cs="宋体"/>
                <w:spacing w:val="8"/>
                <w:sz w:val="23"/>
                <w:szCs w:val="23"/>
                <w:highlight w:val="none"/>
              </w:rPr>
              <w:t>低要求》】，如中标人报送的人员不满足招标文件要求，招标人有权取消其</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中</w:t>
            </w:r>
            <w:r>
              <w:rPr>
                <w:rFonts w:ascii="宋体" w:hAnsi="宋体" w:eastAsia="宋体" w:cs="宋体"/>
                <w:spacing w:val="5"/>
                <w:sz w:val="23"/>
                <w:szCs w:val="23"/>
                <w:highlight w:val="none"/>
              </w:rPr>
              <w:t>标资格。</w:t>
            </w:r>
          </w:p>
          <w:p w14:paraId="3E9CBB61">
            <w:pPr>
              <w:spacing w:line="328" w:lineRule="auto"/>
              <w:ind w:left="105" w:right="97" w:firstLine="502"/>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进场时，如果所提供的人员低于投标阶段以及中标后合同谈判阶段</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所</w:t>
            </w:r>
            <w:r>
              <w:rPr>
                <w:rFonts w:ascii="宋体" w:hAnsi="宋体" w:eastAsia="宋体" w:cs="宋体"/>
                <w:spacing w:val="10"/>
                <w:sz w:val="23"/>
                <w:szCs w:val="23"/>
                <w:highlight w:val="none"/>
              </w:rPr>
              <w:t>承</w:t>
            </w:r>
            <w:r>
              <w:rPr>
                <w:rFonts w:ascii="宋体" w:hAnsi="宋体" w:eastAsia="宋体" w:cs="宋体"/>
                <w:spacing w:val="8"/>
                <w:sz w:val="23"/>
                <w:szCs w:val="23"/>
                <w:highlight w:val="none"/>
              </w:rPr>
              <w:t>诺的人员最低标准，即被认为未按合同文件规定履约，发包人将有权与中</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标人解除合同，另行安排其他单位进行施工。</w:t>
            </w:r>
          </w:p>
          <w:p w14:paraId="6564A695">
            <w:pPr>
              <w:spacing w:line="295" w:lineRule="auto"/>
              <w:rPr>
                <w:rFonts w:ascii="Arial"/>
                <w:sz w:val="21"/>
                <w:highlight w:val="none"/>
              </w:rPr>
            </w:pPr>
          </w:p>
          <w:p w14:paraId="1BBCB87B">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7.8.7 </w:t>
            </w:r>
            <w:r>
              <w:rPr>
                <w:rFonts w:ascii="宋体" w:hAnsi="宋体" w:eastAsia="宋体" w:cs="宋体"/>
                <w:sz w:val="23"/>
                <w:szCs w:val="23"/>
                <w:highlight w:val="none"/>
              </w:rPr>
              <w:t>项：</w:t>
            </w:r>
          </w:p>
          <w:p w14:paraId="2D5B09B3">
            <w:pPr>
              <w:spacing w:before="117" w:line="324" w:lineRule="auto"/>
              <w:ind w:left="104" w:right="36" w:firstLine="480"/>
              <w:rPr>
                <w:rFonts w:ascii="宋体" w:hAnsi="宋体" w:eastAsia="宋体" w:cs="宋体"/>
                <w:sz w:val="23"/>
                <w:szCs w:val="23"/>
                <w:highlight w:val="none"/>
              </w:rPr>
            </w:pPr>
            <w:r>
              <w:rPr>
                <w:rFonts w:ascii="Times New Roman" w:hAnsi="Times New Roman" w:eastAsia="Times New Roman" w:cs="Times New Roman"/>
                <w:spacing w:val="20"/>
                <w:sz w:val="23"/>
                <w:szCs w:val="23"/>
                <w:highlight w:val="none"/>
              </w:rPr>
              <w:t>7</w:t>
            </w:r>
            <w:r>
              <w:rPr>
                <w:rFonts w:ascii="Times New Roman" w:hAnsi="Times New Roman" w:eastAsia="Times New Roman" w:cs="Times New Roman"/>
                <w:spacing w:val="15"/>
                <w:sz w:val="23"/>
                <w:szCs w:val="23"/>
                <w:highlight w:val="none"/>
              </w:rPr>
              <w:t>.</w:t>
            </w:r>
            <w:r>
              <w:rPr>
                <w:rFonts w:ascii="Times New Roman" w:hAnsi="Times New Roman" w:eastAsia="Times New Roman" w:cs="Times New Roman"/>
                <w:spacing w:val="10"/>
                <w:sz w:val="23"/>
                <w:szCs w:val="23"/>
                <w:highlight w:val="none"/>
              </w:rPr>
              <w:t xml:space="preserve">8.7  </w:t>
            </w:r>
            <w:r>
              <w:rPr>
                <w:rFonts w:ascii="宋体" w:hAnsi="宋体" w:eastAsia="宋体" w:cs="宋体"/>
                <w:spacing w:val="10"/>
                <w:sz w:val="23"/>
                <w:szCs w:val="23"/>
                <w:highlight w:val="none"/>
              </w:rPr>
              <w:t xml:space="preserve">如果根据投标人须知第 </w:t>
            </w:r>
            <w:r>
              <w:rPr>
                <w:rFonts w:ascii="Times New Roman" w:hAnsi="Times New Roman" w:eastAsia="Times New Roman" w:cs="Times New Roman"/>
                <w:spacing w:val="10"/>
                <w:sz w:val="23"/>
                <w:szCs w:val="23"/>
                <w:highlight w:val="none"/>
              </w:rPr>
              <w:t xml:space="preserve">3.5.3 </w:t>
            </w:r>
            <w:r>
              <w:rPr>
                <w:rFonts w:ascii="宋体" w:hAnsi="宋体" w:eastAsia="宋体" w:cs="宋体"/>
                <w:spacing w:val="10"/>
                <w:sz w:val="23"/>
                <w:szCs w:val="23"/>
                <w:highlight w:val="none"/>
              </w:rPr>
              <w:t>项 (适用于已进行资格预审的) 、第</w:t>
            </w:r>
            <w:r>
              <w:rPr>
                <w:rFonts w:ascii="宋体" w:hAnsi="宋体" w:eastAsia="宋体" w:cs="宋体"/>
                <w:sz w:val="23"/>
                <w:szCs w:val="23"/>
                <w:highlight w:val="none"/>
              </w:rPr>
              <w:t xml:space="preserve"> </w:t>
            </w:r>
            <w:r>
              <w:rPr>
                <w:rFonts w:ascii="Times New Roman" w:hAnsi="Times New Roman" w:eastAsia="Times New Roman" w:cs="Times New Roman"/>
                <w:spacing w:val="4"/>
                <w:sz w:val="23"/>
                <w:szCs w:val="23"/>
                <w:highlight w:val="none"/>
              </w:rPr>
              <w:t xml:space="preserve">3.5. 11 </w:t>
            </w:r>
            <w:r>
              <w:rPr>
                <w:rFonts w:ascii="宋体" w:hAnsi="宋体" w:eastAsia="宋体" w:cs="宋体"/>
                <w:spacing w:val="4"/>
                <w:sz w:val="23"/>
                <w:szCs w:val="23"/>
                <w:highlight w:val="none"/>
              </w:rPr>
              <w:t>项 (适用于未</w:t>
            </w:r>
            <w:r>
              <w:rPr>
                <w:rFonts w:ascii="宋体" w:hAnsi="宋体" w:eastAsia="宋体" w:cs="宋体"/>
                <w:spacing w:val="3"/>
                <w:sz w:val="23"/>
                <w:szCs w:val="23"/>
                <w:highlight w:val="none"/>
              </w:rPr>
              <w:t>进</w:t>
            </w:r>
            <w:r>
              <w:rPr>
                <w:rFonts w:ascii="宋体" w:hAnsi="宋体" w:eastAsia="宋体" w:cs="宋体"/>
                <w:spacing w:val="2"/>
                <w:sz w:val="23"/>
                <w:szCs w:val="23"/>
                <w:highlight w:val="none"/>
              </w:rPr>
              <w:t>行资格预审的) 规定，招标人取消了中标人的中标资格，</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招</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人将以《中华人民共和国招标投标法》、《中华人民共和国招标投标法实</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施条例</w:t>
            </w:r>
            <w:r>
              <w:rPr>
                <w:rFonts w:ascii="宋体" w:hAnsi="宋体" w:eastAsia="宋体" w:cs="宋体"/>
                <w:spacing w:val="4"/>
                <w:sz w:val="23"/>
                <w:szCs w:val="23"/>
                <w:highlight w:val="none"/>
              </w:rPr>
              <w:t>》</w:t>
            </w:r>
            <w:r>
              <w:rPr>
                <w:rFonts w:ascii="宋体" w:hAnsi="宋体" w:eastAsia="宋体" w:cs="宋体"/>
                <w:spacing w:val="3"/>
                <w:sz w:val="23"/>
                <w:szCs w:val="23"/>
                <w:highlight w:val="none"/>
              </w:rPr>
              <w:t>为依据，参照《公路工程建设项目招标投标管理办法》重新组织招标；</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 xml:space="preserve">如果根据投标人须知第 </w:t>
            </w:r>
            <w:r>
              <w:rPr>
                <w:rFonts w:ascii="Times New Roman" w:hAnsi="Times New Roman" w:eastAsia="Times New Roman" w:cs="Times New Roman"/>
                <w:spacing w:val="3"/>
                <w:sz w:val="23"/>
                <w:szCs w:val="23"/>
                <w:highlight w:val="none"/>
              </w:rPr>
              <w:t>7</w:t>
            </w:r>
            <w:r>
              <w:rPr>
                <w:rFonts w:ascii="Times New Roman" w:hAnsi="Times New Roman" w:eastAsia="Times New Roman" w:cs="Times New Roman"/>
                <w:spacing w:val="2"/>
                <w:sz w:val="23"/>
                <w:szCs w:val="23"/>
                <w:highlight w:val="none"/>
              </w:rPr>
              <w:t xml:space="preserve">.7.2 </w:t>
            </w:r>
            <w:r>
              <w:rPr>
                <w:rFonts w:ascii="宋体" w:hAnsi="宋体" w:eastAsia="宋体" w:cs="宋体"/>
                <w:spacing w:val="2"/>
                <w:sz w:val="23"/>
                <w:szCs w:val="23"/>
                <w:highlight w:val="none"/>
              </w:rPr>
              <w:t xml:space="preserve">项或第 </w:t>
            </w:r>
            <w:r>
              <w:rPr>
                <w:rFonts w:ascii="Times New Roman" w:hAnsi="Times New Roman" w:eastAsia="Times New Roman" w:cs="Times New Roman"/>
                <w:spacing w:val="2"/>
                <w:sz w:val="23"/>
                <w:szCs w:val="23"/>
                <w:highlight w:val="none"/>
              </w:rPr>
              <w:t xml:space="preserve">7.8. 1 </w:t>
            </w:r>
            <w:r>
              <w:rPr>
                <w:rFonts w:ascii="宋体" w:hAnsi="宋体" w:eastAsia="宋体" w:cs="宋体"/>
                <w:spacing w:val="2"/>
                <w:sz w:val="23"/>
                <w:szCs w:val="23"/>
                <w:highlight w:val="none"/>
              </w:rPr>
              <w:t>项规定，招标人取消了中标人的中标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资</w:t>
            </w:r>
            <w:r>
              <w:rPr>
                <w:rFonts w:ascii="宋体" w:hAnsi="宋体" w:eastAsia="宋体" w:cs="宋体"/>
                <w:spacing w:val="11"/>
                <w:sz w:val="23"/>
                <w:szCs w:val="23"/>
                <w:highlight w:val="none"/>
              </w:rPr>
              <w:t>格</w:t>
            </w:r>
            <w:r>
              <w:rPr>
                <w:rFonts w:ascii="宋体" w:hAnsi="宋体" w:eastAsia="宋体" w:cs="宋体"/>
                <w:spacing w:val="8"/>
                <w:sz w:val="23"/>
                <w:szCs w:val="23"/>
                <w:highlight w:val="none"/>
              </w:rPr>
              <w:t>，招标人可将合同授予下一个中标候选人，或者以《中华人民共和国招标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投</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法》、《中华人民共和国招标投标法实施条例》为依据，参照《公路工程</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建</w:t>
            </w:r>
            <w:r>
              <w:rPr>
                <w:rFonts w:ascii="宋体" w:hAnsi="宋体" w:eastAsia="宋体" w:cs="宋体"/>
                <w:spacing w:val="9"/>
                <w:sz w:val="23"/>
                <w:szCs w:val="23"/>
                <w:highlight w:val="none"/>
              </w:rPr>
              <w:t>设项目招标投标管理办法》重新组织招标。</w:t>
            </w:r>
          </w:p>
          <w:p w14:paraId="4855E7AD">
            <w:pPr>
              <w:spacing w:line="295" w:lineRule="auto"/>
              <w:rPr>
                <w:rFonts w:ascii="Arial"/>
                <w:sz w:val="21"/>
                <w:highlight w:val="none"/>
              </w:rPr>
            </w:pPr>
          </w:p>
          <w:p w14:paraId="08A845D9">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7.8.8 </w:t>
            </w:r>
            <w:r>
              <w:rPr>
                <w:rFonts w:ascii="宋体" w:hAnsi="宋体" w:eastAsia="宋体" w:cs="宋体"/>
                <w:sz w:val="23"/>
                <w:szCs w:val="23"/>
                <w:highlight w:val="none"/>
              </w:rPr>
              <w:t>项：</w:t>
            </w:r>
          </w:p>
          <w:p w14:paraId="3BCF9F82">
            <w:pPr>
              <w:spacing w:before="117" w:line="230" w:lineRule="auto"/>
              <w:ind w:left="585"/>
              <w:rPr>
                <w:rFonts w:ascii="黑体" w:hAnsi="黑体" w:eastAsia="黑体" w:cs="黑体"/>
                <w:sz w:val="23"/>
                <w:szCs w:val="23"/>
                <w:highlight w:val="none"/>
              </w:rPr>
            </w:pPr>
            <w:r>
              <w:rPr>
                <w:rFonts w:ascii="Times New Roman" w:hAnsi="Times New Roman" w:eastAsia="Times New Roman" w:cs="Times New Roman"/>
                <w:spacing w:val="12"/>
                <w:sz w:val="23"/>
                <w:szCs w:val="23"/>
                <w:highlight w:val="none"/>
              </w:rPr>
              <w:t>7</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pacing w:val="6"/>
                <w:sz w:val="23"/>
                <w:szCs w:val="23"/>
                <w:highlight w:val="none"/>
              </w:rPr>
              <w:t xml:space="preserve">8.8 </w:t>
            </w:r>
            <w:r>
              <w:rPr>
                <w:rFonts w:ascii="黑体" w:hAnsi="黑体" w:eastAsia="黑体" w:cs="黑体"/>
                <w:spacing w:val="6"/>
                <w:sz w:val="23"/>
                <w:szCs w:val="23"/>
                <w:highlight w:val="none"/>
              </w:rPr>
              <w:t>不平衡单价的调整</w:t>
            </w:r>
          </w:p>
          <w:p w14:paraId="6072DA15">
            <w:pPr>
              <w:spacing w:before="114" w:line="321" w:lineRule="auto"/>
              <w:ind w:left="106" w:right="97" w:firstLine="482"/>
              <w:rPr>
                <w:rFonts w:ascii="宋体" w:hAnsi="宋体" w:eastAsia="宋体" w:cs="宋体"/>
                <w:sz w:val="23"/>
                <w:szCs w:val="23"/>
                <w:highlight w:val="none"/>
              </w:rPr>
            </w:pPr>
            <w:r>
              <w:rPr>
                <w:rFonts w:ascii="宋体" w:hAnsi="宋体" w:eastAsia="宋体" w:cs="宋体"/>
                <w:spacing w:val="30"/>
                <w:sz w:val="23"/>
                <w:szCs w:val="23"/>
                <w:highlight w:val="none"/>
              </w:rPr>
              <w:t>如</w:t>
            </w:r>
            <w:r>
              <w:rPr>
                <w:rFonts w:ascii="宋体" w:hAnsi="宋体" w:eastAsia="宋体" w:cs="宋体"/>
                <w:spacing w:val="23"/>
                <w:sz w:val="23"/>
                <w:szCs w:val="23"/>
                <w:highlight w:val="none"/>
              </w:rPr>
              <w:t>果</w:t>
            </w:r>
            <w:r>
              <w:rPr>
                <w:rFonts w:ascii="宋体" w:hAnsi="宋体" w:eastAsia="宋体" w:cs="宋体"/>
                <w:spacing w:val="15"/>
                <w:sz w:val="23"/>
                <w:szCs w:val="23"/>
                <w:highlight w:val="none"/>
              </w:rPr>
              <w:t>招标人在评标结束后发现并认为中标人工程量清单中某些子目的单</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价</w:t>
            </w:r>
            <w:r>
              <w:rPr>
                <w:rFonts w:ascii="宋体" w:hAnsi="宋体" w:eastAsia="宋体" w:cs="宋体"/>
                <w:spacing w:val="9"/>
                <w:sz w:val="23"/>
                <w:szCs w:val="23"/>
                <w:highlight w:val="none"/>
              </w:rPr>
              <w:t>不</w:t>
            </w:r>
            <w:r>
              <w:rPr>
                <w:rFonts w:ascii="宋体" w:hAnsi="宋体" w:eastAsia="宋体" w:cs="宋体"/>
                <w:spacing w:val="8"/>
                <w:sz w:val="23"/>
                <w:szCs w:val="23"/>
                <w:highlight w:val="none"/>
              </w:rPr>
              <w:t>合理，则招标人可以要求中标人就该类子目的报价进行澄清，或提供详细</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的</w:t>
            </w:r>
            <w:r>
              <w:rPr>
                <w:rFonts w:ascii="宋体" w:hAnsi="宋体" w:eastAsia="宋体" w:cs="宋体"/>
                <w:spacing w:val="9"/>
                <w:sz w:val="23"/>
                <w:szCs w:val="23"/>
                <w:highlight w:val="none"/>
              </w:rPr>
              <w:t>价</w:t>
            </w:r>
            <w:r>
              <w:rPr>
                <w:rFonts w:ascii="宋体" w:hAnsi="宋体" w:eastAsia="宋体" w:cs="宋体"/>
                <w:spacing w:val="8"/>
                <w:sz w:val="23"/>
                <w:szCs w:val="23"/>
                <w:highlight w:val="none"/>
              </w:rPr>
              <w:t>格分析以证明这些价格在建议的施工方法和计划的条件下具有合理性。如</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不</w:t>
            </w:r>
            <w:r>
              <w:rPr>
                <w:rFonts w:ascii="宋体" w:hAnsi="宋体" w:eastAsia="宋体" w:cs="宋体"/>
                <w:spacing w:val="9"/>
                <w:sz w:val="23"/>
                <w:szCs w:val="23"/>
                <w:highlight w:val="none"/>
              </w:rPr>
              <w:t>能</w:t>
            </w:r>
            <w:r>
              <w:rPr>
                <w:rFonts w:ascii="宋体" w:hAnsi="宋体" w:eastAsia="宋体" w:cs="宋体"/>
                <w:spacing w:val="8"/>
                <w:sz w:val="23"/>
                <w:szCs w:val="23"/>
                <w:highlight w:val="none"/>
              </w:rPr>
              <w:t>证明其合理性，则在签订合同前进行澄清谈判时，招标人将有权按照总价</w:t>
            </w:r>
          </w:p>
          <w:p w14:paraId="00185F6F">
            <w:pPr>
              <w:spacing w:before="112" w:line="231" w:lineRule="auto"/>
              <w:ind w:left="105"/>
              <w:rPr>
                <w:rFonts w:ascii="黑体" w:hAnsi="黑体" w:eastAsia="黑体" w:cs="黑体"/>
                <w:sz w:val="23"/>
                <w:szCs w:val="23"/>
                <w:highlight w:val="none"/>
              </w:rPr>
            </w:pPr>
            <w:r>
              <w:rPr>
                <w:rFonts w:ascii="宋体" w:hAnsi="宋体" w:eastAsia="宋体" w:cs="宋体"/>
                <w:spacing w:val="14"/>
                <w:sz w:val="23"/>
                <w:szCs w:val="23"/>
                <w:highlight w:val="none"/>
              </w:rPr>
              <w:t>不</w:t>
            </w:r>
            <w:r>
              <w:rPr>
                <w:rFonts w:ascii="宋体" w:hAnsi="宋体" w:eastAsia="宋体" w:cs="宋体"/>
                <w:spacing w:val="8"/>
                <w:sz w:val="23"/>
                <w:szCs w:val="23"/>
                <w:highlight w:val="none"/>
              </w:rPr>
              <w:t>变的原则对有关单价进行调整。</w:t>
            </w:r>
          </w:p>
          <w:p w14:paraId="7866C92C">
            <w:pPr>
              <w:pageBreakBefore w:val="0"/>
              <w:kinsoku/>
              <w:wordWrap w:val="0"/>
              <w:bidi w:val="0"/>
              <w:spacing w:line="440" w:lineRule="exact"/>
              <w:jc w:val="left"/>
              <w:rPr>
                <w:rFonts w:ascii="宋体" w:hAnsi="宋体" w:eastAsia="宋体" w:cs="宋体"/>
                <w:spacing w:val="18"/>
                <w:sz w:val="23"/>
                <w:szCs w:val="23"/>
                <w:highlight w:val="none"/>
              </w:rPr>
            </w:pPr>
          </w:p>
        </w:tc>
      </w:tr>
      <w:tr w14:paraId="5EFE25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733ED8D">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center"/>
          </w:tcPr>
          <w:p w14:paraId="1A168F29">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5</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C923C47">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50EAA74B">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ascii="Times New Roman" w:hAnsi="Times New Roman" w:eastAsia="Times New Roman" w:cs="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ascii="Times New Roman" w:hAnsi="Times New Roman" w:eastAsia="Times New Roman" w:cs="Times New Roman"/>
                <w:spacing w:val="9"/>
                <w:sz w:val="23"/>
                <w:szCs w:val="23"/>
                <w:highlight w:val="none"/>
              </w:rPr>
              <w:t xml:space="preserve">3 </w:t>
            </w:r>
            <w:r>
              <w:rPr>
                <w:rFonts w:ascii="黑体" w:hAnsi="黑体" w:eastAsia="黑体" w:cs="黑体"/>
                <w:spacing w:val="9"/>
                <w:sz w:val="23"/>
                <w:szCs w:val="23"/>
                <w:highlight w:val="none"/>
              </w:rPr>
              <w:t>个的；</w:t>
            </w:r>
          </w:p>
          <w:p w14:paraId="12C70B94">
            <w:pPr>
              <w:pageBreakBefore w:val="0"/>
              <w:kinsoku/>
              <w:wordWrap w:val="0"/>
              <w:bidi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5EF82DCE">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ascii="Times New Roman" w:hAnsi="Times New Roman" w:eastAsia="Times New Roman" w:cs="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695CD63D">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54031D5B">
            <w:pPr>
              <w:pageBreakBefore w:val="0"/>
              <w:kinsoku/>
              <w:wordWrap w:val="0"/>
              <w:bidi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ascii="Times New Roman" w:hAnsi="Times New Roman" w:eastAsia="Times New Roman" w:cs="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0C4B478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47C1E5">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0505A86">
            <w:pPr>
              <w:spacing w:before="112"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6</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E6755FC">
            <w:pPr>
              <w:spacing w:before="114" w:line="275" w:lineRule="auto"/>
              <w:ind w:left="104" w:leftChars="0" w:right="97" w:rightChars="0" w:firstLine="478"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本招标文件各个组成部分的文件，未经招标人书面同意，投标人不得</w:t>
            </w:r>
            <w:r>
              <w:rPr>
                <w:rFonts w:ascii="黑体" w:hAnsi="黑体" w:eastAsia="黑体" w:cs="黑体"/>
                <w:spacing w:val="11"/>
                <w:sz w:val="23"/>
                <w:szCs w:val="23"/>
                <w:highlight w:val="none"/>
              </w:rPr>
              <w:t>擅</w:t>
            </w:r>
            <w:r>
              <w:rPr>
                <w:rFonts w:ascii="黑体" w:hAnsi="黑体" w:eastAsia="黑体" w:cs="黑体"/>
                <w:spacing w:val="9"/>
                <w:sz w:val="23"/>
                <w:szCs w:val="23"/>
                <w:highlight w:val="none"/>
              </w:rPr>
              <w:t>自复印和用于非本招标项目所需的其他目的。</w:t>
            </w:r>
          </w:p>
        </w:tc>
      </w:tr>
      <w:tr w14:paraId="710FE5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F8BA6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13E0A499">
            <w:pPr>
              <w:spacing w:before="115"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7</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D23C7D2">
            <w:pPr>
              <w:spacing w:before="109" w:line="303" w:lineRule="auto"/>
              <w:ind w:left="103" w:leftChars="0" w:firstLine="471" w:firstLineChars="0"/>
              <w:rPr>
                <w:rFonts w:ascii="黑体" w:hAnsi="黑体" w:eastAsia="黑体" w:cs="黑体"/>
                <w:spacing w:val="17"/>
                <w:sz w:val="23"/>
                <w:szCs w:val="23"/>
                <w:highlight w:val="none"/>
              </w:rPr>
            </w:pPr>
            <w:r>
              <w:rPr>
                <w:rFonts w:ascii="黑体" w:hAnsi="黑体" w:eastAsia="黑体" w:cs="黑体"/>
                <w:spacing w:val="14"/>
                <w:sz w:val="23"/>
                <w:szCs w:val="23"/>
                <w:highlight w:val="none"/>
              </w:rPr>
              <w:t>构成</w:t>
            </w:r>
            <w:r>
              <w:rPr>
                <w:rFonts w:ascii="黑体" w:hAnsi="黑体" w:eastAsia="黑体" w:cs="黑体"/>
                <w:spacing w:val="8"/>
                <w:sz w:val="23"/>
                <w:szCs w:val="23"/>
                <w:highlight w:val="none"/>
              </w:rPr>
              <w:t>招</w:t>
            </w:r>
            <w:r>
              <w:rPr>
                <w:rFonts w:ascii="黑体" w:hAnsi="黑体" w:eastAsia="黑体" w:cs="黑体"/>
                <w:spacing w:val="7"/>
                <w:sz w:val="23"/>
                <w:szCs w:val="23"/>
                <w:highlight w:val="none"/>
              </w:rPr>
              <w:t>标文件组成部分的第二章、第四章</w:t>
            </w:r>
            <w:r>
              <w:rPr>
                <w:rFonts w:ascii="Times New Roman" w:hAnsi="Times New Roman" w:eastAsia="Times New Roman" w:cs="Times New Roman"/>
                <w:spacing w:val="7"/>
                <w:sz w:val="23"/>
                <w:szCs w:val="23"/>
                <w:highlight w:val="none"/>
              </w:rPr>
              <w:t>~</w:t>
            </w:r>
            <w:r>
              <w:rPr>
                <w:rFonts w:ascii="黑体" w:hAnsi="黑体" w:eastAsia="黑体" w:cs="黑体"/>
                <w:spacing w:val="7"/>
                <w:sz w:val="23"/>
                <w:szCs w:val="23"/>
                <w:highlight w:val="none"/>
              </w:rPr>
              <w:t>第八章中出现的措辞“发包人”</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和“承包人”，在招标投标阶段应当分别按“招标人”和“投标人 (或中标人)”</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进行理</w:t>
            </w:r>
            <w:r>
              <w:rPr>
                <w:rFonts w:ascii="黑体" w:hAnsi="黑体" w:eastAsia="黑体" w:cs="黑体"/>
                <w:spacing w:val="7"/>
                <w:sz w:val="23"/>
                <w:szCs w:val="23"/>
                <w:highlight w:val="none"/>
              </w:rPr>
              <w:t>解</w:t>
            </w:r>
            <w:r>
              <w:rPr>
                <w:rFonts w:ascii="黑体" w:hAnsi="黑体" w:eastAsia="黑体" w:cs="黑体"/>
                <w:spacing w:val="4"/>
                <w:sz w:val="23"/>
                <w:szCs w:val="23"/>
                <w:highlight w:val="none"/>
              </w:rPr>
              <w:t>；构成招标文件组成部分的第二章中出现的措辞“招标人”和“投标</w:t>
            </w:r>
            <w:r>
              <w:rPr>
                <w:rFonts w:ascii="黑体" w:hAnsi="黑体" w:eastAsia="黑体" w:cs="黑体"/>
                <w:spacing w:val="-4"/>
                <w:sz w:val="23"/>
                <w:szCs w:val="23"/>
                <w:highlight w:val="none"/>
              </w:rPr>
              <w:t xml:space="preserve">人 </w:t>
            </w:r>
            <w:r>
              <w:rPr>
                <w:rFonts w:ascii="黑体" w:hAnsi="黑体" w:eastAsia="黑体" w:cs="黑体"/>
                <w:spacing w:val="-3"/>
                <w:sz w:val="23"/>
                <w:szCs w:val="23"/>
                <w:highlight w:val="none"/>
              </w:rPr>
              <w:t>(</w:t>
            </w:r>
            <w:r>
              <w:rPr>
                <w:rFonts w:ascii="黑体" w:hAnsi="黑体" w:eastAsia="黑体" w:cs="黑体"/>
                <w:spacing w:val="-2"/>
                <w:sz w:val="23"/>
                <w:szCs w:val="23"/>
                <w:highlight w:val="none"/>
              </w:rPr>
              <w:t>或中标人) ”，且与合同文件相关的条款，在合同履约阶段应当分别按“发</w:t>
            </w:r>
            <w:r>
              <w:rPr>
                <w:rFonts w:ascii="黑体" w:hAnsi="黑体" w:eastAsia="黑体" w:cs="黑体"/>
                <w:spacing w:val="6"/>
                <w:sz w:val="23"/>
                <w:szCs w:val="23"/>
                <w:highlight w:val="none"/>
              </w:rPr>
              <w:t>包</w:t>
            </w:r>
            <w:r>
              <w:rPr>
                <w:rFonts w:ascii="黑体" w:hAnsi="黑体" w:eastAsia="黑体" w:cs="黑体"/>
                <w:spacing w:val="5"/>
                <w:sz w:val="23"/>
                <w:szCs w:val="23"/>
                <w:highlight w:val="none"/>
              </w:rPr>
              <w:t>人”和“承包人”进行理解。</w:t>
            </w:r>
          </w:p>
        </w:tc>
      </w:tr>
      <w:tr w14:paraId="2EC96D8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7D16F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DAF9892">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9.8</w:t>
            </w:r>
            <w:r>
              <w:rPr>
                <w:rFonts w:ascii="黑体" w:hAnsi="黑体" w:eastAsia="黑体" w:cs="黑体"/>
                <w:sz w:val="23"/>
                <w:szCs w:val="23"/>
                <w:highlight w:val="none"/>
              </w:rPr>
              <w:t>款：</w:t>
            </w:r>
          </w:p>
          <w:p w14:paraId="5A0D7697">
            <w:pPr>
              <w:spacing w:before="110" w:line="308" w:lineRule="auto"/>
              <w:ind w:left="101" w:leftChars="0" w:right="97" w:rightChars="0" w:firstLine="481"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本招标文件的各个组成文件应互为解释，互为说明；如有不明确或不</w:t>
            </w:r>
            <w:r>
              <w:rPr>
                <w:rFonts w:ascii="黑体" w:hAnsi="黑体" w:eastAsia="黑体" w:cs="黑体"/>
                <w:spacing w:val="16"/>
                <w:sz w:val="23"/>
                <w:szCs w:val="23"/>
                <w:highlight w:val="none"/>
              </w:rPr>
              <w:t>一</w:t>
            </w:r>
            <w:r>
              <w:rPr>
                <w:rFonts w:ascii="黑体" w:hAnsi="黑体" w:eastAsia="黑体" w:cs="黑体"/>
                <w:spacing w:val="15"/>
                <w:sz w:val="23"/>
                <w:szCs w:val="23"/>
                <w:highlight w:val="none"/>
              </w:rPr>
              <w:t>致</w:t>
            </w:r>
            <w:r>
              <w:rPr>
                <w:rFonts w:ascii="黑体" w:hAnsi="黑体" w:eastAsia="黑体" w:cs="黑体"/>
                <w:spacing w:val="8"/>
                <w:sz w:val="23"/>
                <w:szCs w:val="23"/>
                <w:highlight w:val="none"/>
              </w:rPr>
              <w:t>，构成合同文件组成内容的，以合同文件约定内容为准，且以合同协议书</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约</w:t>
            </w:r>
            <w:r>
              <w:rPr>
                <w:rFonts w:ascii="黑体" w:hAnsi="黑体" w:eastAsia="黑体" w:cs="黑体"/>
                <w:spacing w:val="15"/>
                <w:sz w:val="23"/>
                <w:szCs w:val="23"/>
                <w:highlight w:val="none"/>
              </w:rPr>
              <w:t>定</w:t>
            </w:r>
            <w:r>
              <w:rPr>
                <w:rFonts w:ascii="黑体" w:hAnsi="黑体" w:eastAsia="黑体" w:cs="黑体"/>
                <w:spacing w:val="8"/>
                <w:sz w:val="23"/>
                <w:szCs w:val="23"/>
                <w:highlight w:val="none"/>
              </w:rPr>
              <w:t>的合同文件优先顺序解释；除招标文件中有特别规定外，仅适用于招标投</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标阶段的规定，按招标公告 (投标邀请书) 、投标人须知、评标办法、投标</w:t>
            </w:r>
            <w:r>
              <w:rPr>
                <w:rFonts w:ascii="黑体" w:hAnsi="黑体" w:eastAsia="黑体" w:cs="黑体"/>
                <w:spacing w:val="7"/>
                <w:sz w:val="23"/>
                <w:szCs w:val="23"/>
                <w:highlight w:val="none"/>
              </w:rPr>
              <w:t>文</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件</w:t>
            </w:r>
            <w:r>
              <w:rPr>
                <w:rFonts w:ascii="黑体" w:hAnsi="黑体" w:eastAsia="黑体" w:cs="黑体"/>
                <w:spacing w:val="15"/>
                <w:sz w:val="23"/>
                <w:szCs w:val="23"/>
                <w:highlight w:val="none"/>
              </w:rPr>
              <w:t>格</w:t>
            </w:r>
            <w:r>
              <w:rPr>
                <w:rFonts w:ascii="黑体" w:hAnsi="黑体" w:eastAsia="黑体" w:cs="黑体"/>
                <w:spacing w:val="8"/>
                <w:sz w:val="23"/>
                <w:szCs w:val="23"/>
                <w:highlight w:val="none"/>
              </w:rPr>
              <w:t>式的先后顺序解释；同一组成文件中就同一事项的规定或约定不一致的，</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以</w:t>
            </w:r>
            <w:r>
              <w:rPr>
                <w:rFonts w:ascii="黑体" w:hAnsi="黑体" w:eastAsia="黑体" w:cs="黑体"/>
                <w:spacing w:val="15"/>
                <w:sz w:val="23"/>
                <w:szCs w:val="23"/>
                <w:highlight w:val="none"/>
              </w:rPr>
              <w:t>编</w:t>
            </w:r>
            <w:r>
              <w:rPr>
                <w:rFonts w:ascii="黑体" w:hAnsi="黑体" w:eastAsia="黑体" w:cs="黑体"/>
                <w:spacing w:val="8"/>
                <w:sz w:val="23"/>
                <w:szCs w:val="23"/>
                <w:highlight w:val="none"/>
              </w:rPr>
              <w:t>排顺序在后者为准；同一组成文件不同版本之间有不一致的，以形成时间</w:t>
            </w:r>
            <w:r>
              <w:rPr>
                <w:rFonts w:ascii="黑体" w:hAnsi="黑体" w:eastAsia="黑体" w:cs="黑体"/>
                <w:sz w:val="23"/>
                <w:szCs w:val="23"/>
                <w:highlight w:val="none"/>
              </w:rPr>
              <w:t xml:space="preserve"> </w:t>
            </w:r>
            <w:r>
              <w:rPr>
                <w:rFonts w:ascii="黑体" w:hAnsi="黑体" w:eastAsia="黑体" w:cs="黑体"/>
                <w:spacing w:val="18"/>
                <w:sz w:val="23"/>
                <w:szCs w:val="23"/>
                <w:highlight w:val="none"/>
              </w:rPr>
              <w:t>在</w:t>
            </w:r>
            <w:r>
              <w:rPr>
                <w:rFonts w:ascii="黑体" w:hAnsi="黑体" w:eastAsia="黑体" w:cs="黑体"/>
                <w:spacing w:val="16"/>
                <w:sz w:val="23"/>
                <w:szCs w:val="23"/>
                <w:highlight w:val="none"/>
              </w:rPr>
              <w:t>后</w:t>
            </w:r>
            <w:r>
              <w:rPr>
                <w:rFonts w:ascii="黑体" w:hAnsi="黑体" w:eastAsia="黑体" w:cs="黑体"/>
                <w:spacing w:val="9"/>
                <w:sz w:val="23"/>
                <w:szCs w:val="23"/>
                <w:highlight w:val="none"/>
              </w:rPr>
              <w:t>者为准。按本款前述规定仍不能形成结论的，由招标人负责解释。</w:t>
            </w:r>
          </w:p>
        </w:tc>
      </w:tr>
      <w:tr w14:paraId="0C453E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FB90D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28B449FA">
            <w:pPr>
              <w:tabs>
                <w:tab w:val="left" w:pos="140"/>
                <w:tab w:val="left" w:pos="143"/>
              </w:tabs>
              <w:spacing w:before="118" w:line="307" w:lineRule="auto"/>
              <w:ind w:left="0" w:firstLine="600"/>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9.9</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339FFB64">
            <w:pPr>
              <w:tabs>
                <w:tab w:val="left" w:pos="140"/>
                <w:tab w:val="left" w:pos="143"/>
              </w:tabs>
              <w:spacing w:before="118" w:line="307" w:lineRule="auto"/>
              <w:ind w:firstLine="600" w:firstLineChars="0"/>
              <w:rPr>
                <w:rFonts w:ascii="黑体" w:hAnsi="黑体" w:eastAsia="黑体" w:cs="黑体"/>
                <w:spacing w:val="13"/>
                <w:sz w:val="23"/>
                <w:szCs w:val="23"/>
                <w:highlight w:val="none"/>
              </w:rPr>
            </w:pPr>
            <w:r>
              <w:rPr>
                <w:rFonts w:hint="eastAsia" w:ascii="黑体" w:hAnsi="黑体" w:eastAsia="黑体" w:cs="黑体"/>
                <w:spacing w:val="13"/>
                <w:sz w:val="23"/>
                <w:szCs w:val="23"/>
                <w:highlight w:val="none"/>
              </w:rPr>
              <w:t>投标人中标后，在领取中标通知书时向招标代理单位支付招标代理费，招标代理费</w:t>
            </w:r>
            <w:r>
              <w:rPr>
                <w:rFonts w:hint="eastAsia" w:ascii="黑体" w:hAnsi="黑体" w:eastAsia="黑体" w:cs="黑体"/>
                <w:spacing w:val="13"/>
                <w:sz w:val="23"/>
                <w:szCs w:val="23"/>
                <w:highlight w:val="none"/>
                <w:lang w:eastAsia="zh-CN"/>
              </w:rPr>
              <w:t>按固定价壹万元收取</w:t>
            </w:r>
            <w:r>
              <w:rPr>
                <w:rFonts w:hint="eastAsia" w:ascii="黑体" w:hAnsi="黑体" w:eastAsia="黑体" w:cs="黑体"/>
                <w:spacing w:val="13"/>
                <w:sz w:val="23"/>
                <w:szCs w:val="23"/>
                <w:highlight w:val="none"/>
              </w:rPr>
              <w:t>。中标服务费含在投标报价中，但不得在投标报价中单列</w:t>
            </w:r>
            <w:r>
              <w:rPr>
                <w:rFonts w:ascii="黑体" w:hAnsi="黑体" w:eastAsia="黑体" w:cs="黑体"/>
                <w:spacing w:val="13"/>
                <w:sz w:val="23"/>
                <w:szCs w:val="23"/>
                <w:highlight w:val="none"/>
              </w:rPr>
              <w:t>。</w:t>
            </w:r>
          </w:p>
        </w:tc>
      </w:tr>
      <w:tr w14:paraId="32EF8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C76C4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64B2ADCC">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9.10</w:t>
            </w:r>
            <w:r>
              <w:rPr>
                <w:rFonts w:ascii="黑体" w:hAnsi="黑体" w:eastAsia="黑体" w:cs="黑体"/>
                <w:sz w:val="23"/>
                <w:szCs w:val="23"/>
                <w:highlight w:val="none"/>
              </w:rPr>
              <w:t>款：</w:t>
            </w:r>
          </w:p>
          <w:p w14:paraId="53FEA1F6">
            <w:pPr>
              <w:spacing w:before="115" w:line="298" w:lineRule="auto"/>
              <w:ind w:left="103" w:leftChars="0" w:firstLine="479" w:firstLineChars="0"/>
              <w:rPr>
                <w:rFonts w:ascii="黑体" w:hAnsi="黑体" w:eastAsia="黑体" w:cs="黑体"/>
                <w:spacing w:val="17"/>
                <w:sz w:val="23"/>
                <w:szCs w:val="23"/>
                <w:highlight w:val="none"/>
              </w:rPr>
            </w:pPr>
            <w:r>
              <w:rPr>
                <w:rFonts w:hint="eastAsia" w:ascii="黑体" w:hAnsi="黑体" w:eastAsia="黑体" w:cs="黑体"/>
                <w:spacing w:val="17"/>
                <w:sz w:val="23"/>
                <w:szCs w:val="23"/>
                <w:highlight w:val="none"/>
              </w:rPr>
              <w:t>投标人中标后，在领取中标通知书前按“辽发改价格【2023】128号文”全额缴纳交易中心服务费。交易中心服务费含在投标报价中，但不得在投标报价中单列。</w:t>
            </w:r>
          </w:p>
        </w:tc>
      </w:tr>
      <w:tr w14:paraId="6CF713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A7967A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7968" w:type="dxa"/>
            <w:gridSpan w:val="2"/>
            <w:tcBorders>
              <w:top w:val="single" w:color="auto" w:sz="4" w:space="0"/>
              <w:left w:val="single" w:color="auto" w:sz="4" w:space="0"/>
              <w:bottom w:val="single" w:color="auto" w:sz="4" w:space="0"/>
              <w:right w:val="single" w:color="auto" w:sz="4" w:space="0"/>
            </w:tcBorders>
            <w:noWrap w:val="0"/>
            <w:vAlign w:val="top"/>
          </w:tcPr>
          <w:p w14:paraId="36753F75">
            <w:pPr>
              <w:spacing w:before="115" w:line="298" w:lineRule="auto"/>
              <w:ind w:left="103" w:firstLine="479"/>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9.11</w:t>
            </w:r>
            <w:r>
              <w:rPr>
                <w:rFonts w:ascii="黑体" w:hAnsi="黑体" w:eastAsia="黑体" w:cs="黑体"/>
                <w:sz w:val="23"/>
                <w:szCs w:val="23"/>
                <w:highlight w:val="none"/>
              </w:rPr>
              <w:t>款：</w:t>
            </w:r>
          </w:p>
          <w:p w14:paraId="01BDD64E">
            <w:pPr>
              <w:spacing w:before="115" w:line="298" w:lineRule="auto"/>
              <w:ind w:left="103" w:leftChars="0" w:firstLine="479" w:firstLineChars="0"/>
              <w:rPr>
                <w:rFonts w:hint="eastAsia"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p w14:paraId="33E85B2B">
            <w:pPr>
              <w:spacing w:before="115" w:line="298" w:lineRule="auto"/>
              <w:ind w:left="103" w:leftChars="0" w:firstLine="479" w:firstLineChars="0"/>
              <w:rPr>
                <w:rFonts w:hint="eastAsia"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投标人的投标报价不得高于最高投标限价，超过最高投标限价的投标将被否决。投标人按给定的暂列金额进行填报，不得擅自修改，否则按无效标处理。</w:t>
            </w:r>
          </w:p>
        </w:tc>
      </w:tr>
    </w:tbl>
    <w:p w14:paraId="370300A9">
      <w:pPr>
        <w:pageBreakBefore w:val="0"/>
        <w:kinsoku/>
        <w:wordWrap w:val="0"/>
        <w:bidi w:val="0"/>
        <w:spacing w:line="440" w:lineRule="exact"/>
        <w:rPr>
          <w:rFonts w:hint="default" w:ascii="Times New Roman" w:hAnsi="Times New Roman" w:eastAsia="黑体" w:cs="Times New Roman"/>
          <w:sz w:val="28"/>
          <w:szCs w:val="28"/>
          <w:highlight w:val="none"/>
        </w:rPr>
      </w:pPr>
    </w:p>
    <w:p w14:paraId="1ED4EA11">
      <w:pPr>
        <w:pageBreakBefore w:val="0"/>
        <w:kinsoku/>
        <w:wordWrap w:val="0"/>
        <w:bidi w:val="0"/>
        <w:spacing w:line="20" w:lineRule="exact"/>
        <w:jc w:val="center"/>
        <w:rPr>
          <w:rFonts w:hint="default" w:ascii="Times New Roman" w:hAnsi="Times New Roman" w:eastAsia="黑体" w:cs="Times New Roman"/>
          <w:b/>
          <w:sz w:val="18"/>
          <w:szCs w:val="18"/>
          <w:highlight w:val="none"/>
        </w:rPr>
      </w:pPr>
      <w:r>
        <w:rPr>
          <w:rFonts w:hint="default" w:ascii="Times New Roman" w:hAnsi="Times New Roman" w:eastAsia="黑体" w:cs="Times New Roman"/>
          <w:sz w:val="28"/>
          <w:szCs w:val="28"/>
          <w:highlight w:val="none"/>
        </w:rPr>
        <w:br w:type="page"/>
      </w:r>
    </w:p>
    <w:p w14:paraId="5B0EC86D">
      <w:pPr>
        <w:pStyle w:val="2"/>
        <w:pageBreakBefore w:val="0"/>
        <w:kinsoku/>
        <w:wordWrap w:val="0"/>
        <w:bidi w:val="0"/>
        <w:spacing w:before="240" w:after="240" w:line="240" w:lineRule="atLeast"/>
        <w:jc w:val="center"/>
        <w:rPr>
          <w:rFonts w:hint="default" w:ascii="Times New Roman" w:hAnsi="Times New Roman" w:cs="Times New Roman"/>
          <w:highlight w:val="none"/>
        </w:rPr>
      </w:pPr>
      <w:bookmarkStart w:id="42" w:name="_Toc11266"/>
      <w:bookmarkStart w:id="43" w:name="_Toc234832863"/>
      <w:bookmarkStart w:id="44" w:name="_Toc29783"/>
      <w:r>
        <w:rPr>
          <w:rFonts w:hint="default" w:ascii="Times New Roman" w:hAnsi="Times New Roman" w:eastAsia="黑体" w:cs="Times New Roman"/>
          <w:sz w:val="28"/>
          <w:szCs w:val="28"/>
          <w:highlight w:val="none"/>
        </w:rPr>
        <w:t>附录1  资格审查条件（资质最低</w:t>
      </w:r>
      <w:r>
        <w:rPr>
          <w:rFonts w:hint="default" w:ascii="Times New Roman" w:hAnsi="Times New Roman" w:eastAsia="黑体" w:cs="Times New Roman"/>
          <w:sz w:val="28"/>
          <w:szCs w:val="28"/>
          <w:highlight w:val="none"/>
          <w:lang w:eastAsia="zh-CN"/>
        </w:rPr>
        <w:t>要求</w:t>
      </w:r>
      <w:r>
        <w:rPr>
          <w:rFonts w:hint="default" w:ascii="Times New Roman" w:hAnsi="Times New Roman" w:eastAsia="黑体" w:cs="Times New Roman"/>
          <w:sz w:val="28"/>
          <w:szCs w:val="28"/>
          <w:highlight w:val="none"/>
        </w:rPr>
        <w:t>）</w:t>
      </w:r>
      <w:r>
        <w:rPr>
          <w:rStyle w:val="48"/>
          <w:rFonts w:hint="default" w:ascii="Times New Roman" w:hAnsi="Times New Roman" w:eastAsia="黑体" w:cs="Times New Roman"/>
          <w:sz w:val="28"/>
          <w:szCs w:val="28"/>
          <w:highlight w:val="none"/>
        </w:rPr>
        <w:footnoteReference w:id="11"/>
      </w:r>
      <w:bookmarkEnd w:id="42"/>
      <w:bookmarkEnd w:id="43"/>
      <w:bookmarkEnd w:id="4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CB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noWrap w:val="0"/>
            <w:vAlign w:val="center"/>
          </w:tcPr>
          <w:p w14:paraId="4DC618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施工企业资质等级要求</w:t>
            </w:r>
          </w:p>
        </w:tc>
      </w:tr>
      <w:tr w14:paraId="09D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noWrap w:val="0"/>
            <w:vAlign w:val="center"/>
          </w:tcPr>
          <w:p w14:paraId="13B21C29">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1B178EE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 、投标人必须具有国内独立法人资格及有效的企业法人营业执照。</w:t>
            </w:r>
          </w:p>
          <w:p w14:paraId="309703C9">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 、投标人须同时具有【具有省级交通运输主管部门颁发且有效的“公路养护作业单位资质证书”且资质类别具有路基路面养护乙级及以上资质】及【辽宁省交通运输厅颁发的交通安全设施养护资质】。</w:t>
            </w:r>
          </w:p>
          <w:p w14:paraId="4416992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 、投标人必须具有建设行政主管部门颁发的有效安全生产许可证。</w:t>
            </w:r>
          </w:p>
          <w:p w14:paraId="13C8DBF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2971144F">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注：1、“投标人基本情况表”后应附企业法人营业执照副本和组织机构代码证副本（按照</w:t>
            </w:r>
          </w:p>
          <w:p w14:paraId="782B840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“三证合一”或“五证合一”登记制度进行登记的，可仅提供营业执照副本，下同）、资质证书</w:t>
            </w:r>
          </w:p>
          <w:p w14:paraId="48D769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副本、安全生产许可证副本、基本账户开户证明的复印件，以及投标人在国家企业信用信</w:t>
            </w:r>
          </w:p>
          <w:p w14:paraId="7BEEE5D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息公示系统中基础信息（体现股东及出资详细信息）的网页截图或由法定的社会验资机构</w:t>
            </w:r>
          </w:p>
          <w:p w14:paraId="4E90D34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出具的验资报告或注册地工商部门出具的股东出资情况证明复印件。</w:t>
            </w:r>
          </w:p>
          <w:p w14:paraId="0F6AB7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2、投标人须提供其在交通运输部全国公路建设市场监督管理系统公路工程施工资质企业名</w:t>
            </w:r>
          </w:p>
          <w:p w14:paraId="57CAB0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录中的网页截图复印件</w:t>
            </w:r>
          </w:p>
        </w:tc>
      </w:tr>
    </w:tbl>
    <w:p w14:paraId="3B32934E">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BCF851D">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8CA1182">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6D004C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2422DDA">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FE37F5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512FE2D8">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27F8E24">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37A44D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1A9AF83">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E6317B6">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45" w:name="_Toc4197"/>
      <w:bookmarkStart w:id="46" w:name="_Toc11089"/>
      <w:bookmarkStart w:id="47" w:name="_Toc234832864"/>
      <w:r>
        <w:rPr>
          <w:rFonts w:hint="default" w:ascii="Times New Roman" w:hAnsi="Times New Roman" w:eastAsia="黑体" w:cs="Times New Roman"/>
          <w:sz w:val="28"/>
          <w:szCs w:val="28"/>
          <w:highlight w:val="none"/>
        </w:rPr>
        <w:t>附录2  资格审查条件（财务最低要求）</w:t>
      </w:r>
      <w:r>
        <w:rPr>
          <w:rStyle w:val="48"/>
          <w:rFonts w:hint="default" w:ascii="Times New Roman" w:hAnsi="Times New Roman" w:eastAsia="黑体" w:cs="Times New Roman"/>
          <w:sz w:val="28"/>
          <w:szCs w:val="28"/>
          <w:highlight w:val="none"/>
        </w:rPr>
        <w:footnoteReference w:id="12"/>
      </w:r>
      <w:bookmarkEnd w:id="45"/>
      <w:bookmarkEnd w:id="46"/>
      <w:bookmarkEnd w:id="4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24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ADECFC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 务 要 求</w:t>
            </w:r>
          </w:p>
        </w:tc>
      </w:tr>
      <w:tr w14:paraId="7FBF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428AD54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无</w:t>
            </w:r>
          </w:p>
          <w:p w14:paraId="1AAC7E0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1E50C3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20538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0C202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09C40D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26D55F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633EE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0ECAC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259076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AAD35E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871342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86D49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61F271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BCC97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B40982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5DE9D0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49C13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7AF4A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A4525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E5443E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F47455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372AB782">
      <w:pPr>
        <w:pageBreakBefore w:val="0"/>
        <w:kinsoku/>
        <w:wordWrap w:val="0"/>
        <w:bidi w:val="0"/>
        <w:adjustRightInd w:val="0"/>
        <w:snapToGrid w:val="0"/>
        <w:spacing w:line="300" w:lineRule="exact"/>
        <w:rPr>
          <w:rFonts w:hint="default" w:ascii="Times New Roman" w:hAnsi="Times New Roman" w:eastAsia="黑体" w:cs="Times New Roman"/>
          <w:sz w:val="24"/>
          <w:highlight w:val="none"/>
        </w:rPr>
      </w:pPr>
    </w:p>
    <w:p w14:paraId="5A43E5D5">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48" w:name="_Toc6381"/>
      <w:bookmarkStart w:id="49" w:name="_Toc18273"/>
      <w:bookmarkStart w:id="50" w:name="_Toc234832865"/>
      <w:r>
        <w:rPr>
          <w:rFonts w:hint="default" w:ascii="Times New Roman" w:hAnsi="Times New Roman" w:eastAsia="黑体" w:cs="Times New Roman"/>
          <w:sz w:val="28"/>
          <w:szCs w:val="28"/>
          <w:highlight w:val="none"/>
        </w:rPr>
        <w:t xml:space="preserve">附录3 </w:t>
      </w:r>
      <w:r>
        <w:rPr>
          <w:rFonts w:hint="default" w:ascii="Times New Roman" w:hAnsi="Times New Roman" w:eastAsia="黑体" w:cs="Times New Roman"/>
          <w:sz w:val="28"/>
          <w:szCs w:val="28"/>
          <w:highlight w:val="none"/>
          <w:lang w:eastAsia="zh-CN"/>
        </w:rPr>
        <w:t xml:space="preserve"> </w:t>
      </w:r>
      <w:r>
        <w:rPr>
          <w:rFonts w:hint="default" w:ascii="Times New Roman" w:hAnsi="Times New Roman" w:eastAsia="黑体" w:cs="Times New Roman"/>
          <w:sz w:val="28"/>
          <w:szCs w:val="28"/>
          <w:highlight w:val="none"/>
        </w:rPr>
        <w:t>资格审查条件（业绩最低要求）</w:t>
      </w:r>
      <w:r>
        <w:rPr>
          <w:rStyle w:val="48"/>
          <w:rFonts w:hint="default" w:ascii="Times New Roman" w:hAnsi="Times New Roman" w:eastAsia="黑体" w:cs="Times New Roman"/>
          <w:sz w:val="28"/>
          <w:szCs w:val="28"/>
          <w:highlight w:val="none"/>
        </w:rPr>
        <w:footnoteReference w:id="13"/>
      </w:r>
      <w:bookmarkEnd w:id="48"/>
      <w:bookmarkEnd w:id="49"/>
      <w:bookmarkEnd w:id="5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35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9C6652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业 绩 要 求</w:t>
            </w:r>
          </w:p>
        </w:tc>
      </w:tr>
      <w:tr w14:paraId="1C1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60F7F422">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投标人202</w:t>
            </w:r>
            <w:r>
              <w:rPr>
                <w:rFonts w:hint="eastAsia" w:cs="Times New Roman"/>
                <w:szCs w:val="21"/>
                <w:highlight w:val="none"/>
                <w:lang w:val="en-US" w:eastAsia="zh-CN"/>
              </w:rPr>
              <w:t>3</w:t>
            </w:r>
            <w:r>
              <w:rPr>
                <w:rFonts w:hint="default" w:ascii="Times New Roman" w:hAnsi="Times New Roman" w:cs="Times New Roman"/>
                <w:szCs w:val="21"/>
                <w:highlight w:val="none"/>
              </w:rPr>
              <w:t>年1月1日至投标文件递交截止时间（指交工验收时</w:t>
            </w:r>
            <w:r>
              <w:rPr>
                <w:rFonts w:hint="eastAsia" w:cs="Times New Roman"/>
                <w:szCs w:val="21"/>
                <w:highlight w:val="none"/>
                <w:lang w:eastAsia="zh-CN"/>
              </w:rPr>
              <w:t>间</w:t>
            </w:r>
            <w:r>
              <w:rPr>
                <w:rFonts w:hint="default" w:ascii="Times New Roman" w:hAnsi="Times New Roman" w:cs="Times New Roman"/>
                <w:szCs w:val="21"/>
                <w:highlight w:val="none"/>
              </w:rPr>
              <w:t>为202</w:t>
            </w:r>
            <w:r>
              <w:rPr>
                <w:rFonts w:hint="eastAsia" w:cs="Times New Roman"/>
                <w:szCs w:val="21"/>
                <w:highlight w:val="none"/>
                <w:lang w:val="en-US" w:eastAsia="zh-CN"/>
              </w:rPr>
              <w:t>3</w:t>
            </w:r>
            <w:r>
              <w:rPr>
                <w:rFonts w:hint="default" w:ascii="Times New Roman" w:hAnsi="Times New Roman" w:cs="Times New Roman"/>
                <w:szCs w:val="21"/>
                <w:highlight w:val="none"/>
              </w:rPr>
              <w:t>年1月1日至投标文件递交截止日内），完成过至少1个类似</w:t>
            </w:r>
            <w:r>
              <w:rPr>
                <w:rFonts w:hint="eastAsia" w:cs="Times New Roman"/>
                <w:szCs w:val="21"/>
                <w:highlight w:val="none"/>
                <w:lang w:eastAsia="zh-CN"/>
              </w:rPr>
              <w:t>桥梁</w:t>
            </w:r>
            <w:r>
              <w:rPr>
                <w:rFonts w:hint="default" w:ascii="Times New Roman" w:hAnsi="Times New Roman" w:cs="Times New Roman"/>
                <w:szCs w:val="21"/>
                <w:highlight w:val="none"/>
              </w:rPr>
              <w:t>工程业绩。</w:t>
            </w:r>
          </w:p>
          <w:p w14:paraId="70CC67A3">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注：投标人应提供中标通知书、施工合同及竣工相关证明材料，三者缺一不可，合同时间以竣工时间为准。</w:t>
            </w:r>
          </w:p>
          <w:p w14:paraId="6DF897B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1、已录入“辽宁省公共资源交易平台主体交易库”中的企业业绩，可以从主体库中选取后关联至投标文件中，作为企业业绩的证明材料。</w:t>
            </w:r>
          </w:p>
          <w:p w14:paraId="0B7E14F2">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07AFFCE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如投标人未按要求提供企业业绩证明材料或企业业绩证明材料中的信息无法证实企业满足招标文件要求，则该项目业绩在评审时不予认定。</w:t>
            </w:r>
          </w:p>
          <w:p w14:paraId="1950D41D">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006CA48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4、如近年来，投标人法人机构发生变更或重组或法人名称变更时，应提供相关部门的合法批件。</w:t>
            </w:r>
          </w:p>
          <w:p w14:paraId="494124A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F5229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8F73D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908B5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49B1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0FBA9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131F7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471C87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73F5322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D768E99">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1" w:name="_Toc234832866"/>
      <w:bookmarkStart w:id="52" w:name="_Toc17966"/>
      <w:bookmarkStart w:id="53" w:name="_Toc28200"/>
      <w:r>
        <w:rPr>
          <w:rFonts w:hint="default" w:ascii="Times New Roman" w:hAnsi="Times New Roman" w:eastAsia="黑体" w:cs="Times New Roman"/>
          <w:sz w:val="28"/>
          <w:szCs w:val="28"/>
          <w:highlight w:val="none"/>
        </w:rPr>
        <w:t>附录4  资格审查条件（信誉最低要求）</w:t>
      </w:r>
      <w:r>
        <w:rPr>
          <w:rStyle w:val="48"/>
          <w:rFonts w:hint="default" w:ascii="Times New Roman" w:hAnsi="Times New Roman" w:eastAsia="黑体" w:cs="Times New Roman"/>
          <w:sz w:val="28"/>
          <w:szCs w:val="28"/>
          <w:highlight w:val="none"/>
        </w:rPr>
        <w:footnoteReference w:id="14"/>
      </w:r>
      <w:bookmarkEnd w:id="51"/>
      <w:bookmarkEnd w:id="52"/>
      <w:bookmarkEnd w:id="5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34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9BF9A6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信 誉 要 求</w:t>
            </w:r>
          </w:p>
        </w:tc>
      </w:tr>
      <w:tr w14:paraId="63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150CE82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C2E53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（1）未被省级及以上交通运输主管部门取消招标项目所在地的投标资格且处于有效期内；</w:t>
            </w:r>
          </w:p>
          <w:p w14:paraId="1AFA7A30">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（2）未被责令停业，暂扣或吊销执照，或吊销资质证书；</w:t>
            </w:r>
          </w:p>
          <w:p w14:paraId="715174B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（3）未进入清算程序，或被宣告破产，或其他丧失履约能力的情形；</w:t>
            </w:r>
          </w:p>
          <w:p w14:paraId="4338B13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（4）在国家企业信用信息公示系统（http：//www.gsxt.gov.cn）中未被列入严重违法失信企业名单；</w:t>
            </w:r>
          </w:p>
          <w:p w14:paraId="02F98B17">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（5）在“信用中国”网站（http：//www.creditchina.gov.cn）中未被列入失信被执行人名单；</w:t>
            </w:r>
          </w:p>
          <w:p w14:paraId="673CC60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（6）投标人或其法定代表人、拟委任的项目经理在近三年内没有行贿犯罪行为的；</w:t>
            </w:r>
          </w:p>
          <w:p w14:paraId="071E5C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（7）投标人在以往工程未因拖欠农民工工资、材料采购、工程分包款等，而受到省级有关部门的通报；</w:t>
            </w:r>
          </w:p>
          <w:p w14:paraId="1C507BC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（8）法律法规规定的其他情形。</w:t>
            </w:r>
          </w:p>
          <w:p w14:paraId="2D71D0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947746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A3C2E0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428B8A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BC812F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926064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8655CD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C00ECC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532D7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CC4B28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264817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2083FD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D503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3FFDCFB">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0B95BA9F">
      <w:pPr>
        <w:pageBreakBefore w:val="0"/>
        <w:kinsoku/>
        <w:wordWrap w:val="0"/>
        <w:bidi w:val="0"/>
        <w:adjustRightInd w:val="0"/>
        <w:snapToGrid w:val="0"/>
        <w:spacing w:line="300" w:lineRule="exact"/>
        <w:rPr>
          <w:rFonts w:hint="default" w:ascii="Times New Roman" w:hAnsi="Times New Roman" w:eastAsia="隶书" w:cs="Times New Roman"/>
          <w:sz w:val="32"/>
          <w:highlight w:val="none"/>
        </w:rPr>
      </w:pPr>
    </w:p>
    <w:p w14:paraId="2375F444">
      <w:pPr>
        <w:pageBreakBefore w:val="0"/>
        <w:kinsoku/>
        <w:wordWrap w:val="0"/>
        <w:bidi w:val="0"/>
        <w:adjustRightInd w:val="0"/>
        <w:snapToGrid w:val="0"/>
        <w:spacing w:line="300" w:lineRule="auto"/>
        <w:rPr>
          <w:rFonts w:hint="default" w:ascii="Times New Roman" w:hAnsi="Times New Roman" w:cs="Times New Roman"/>
          <w:bCs/>
          <w:highlight w:val="none"/>
        </w:rPr>
      </w:pPr>
    </w:p>
    <w:p w14:paraId="0030D562">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5B0C56E0">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6638BE94">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4" w:name="_Toc4881"/>
      <w:bookmarkStart w:id="55" w:name="_Toc234832867"/>
      <w:bookmarkStart w:id="56" w:name="_Toc8655"/>
      <w:r>
        <w:rPr>
          <w:rFonts w:hint="default" w:ascii="Times New Roman" w:hAnsi="Times New Roman" w:eastAsia="黑体" w:cs="Times New Roman"/>
          <w:sz w:val="28"/>
          <w:szCs w:val="28"/>
          <w:highlight w:val="none"/>
        </w:rPr>
        <w:t>附录5  资格审查条件（项目经理和项目总工最低要求）</w:t>
      </w:r>
      <w:r>
        <w:rPr>
          <w:rStyle w:val="48"/>
          <w:rFonts w:hint="default" w:ascii="Times New Roman" w:hAnsi="Times New Roman" w:eastAsia="黑体" w:cs="Times New Roman"/>
          <w:sz w:val="28"/>
          <w:szCs w:val="28"/>
          <w:highlight w:val="none"/>
        </w:rPr>
        <w:footnoteReference w:id="15"/>
      </w:r>
      <w:bookmarkEnd w:id="54"/>
      <w:bookmarkEnd w:id="55"/>
      <w:bookmarkEnd w:id="5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86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2F6DFC51">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人  员</w:t>
            </w:r>
          </w:p>
        </w:tc>
        <w:tc>
          <w:tcPr>
            <w:tcW w:w="1559" w:type="dxa"/>
            <w:noWrap w:val="0"/>
            <w:vAlign w:val="center"/>
          </w:tcPr>
          <w:p w14:paraId="02B8C5F6">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  量</w:t>
            </w:r>
          </w:p>
        </w:tc>
        <w:tc>
          <w:tcPr>
            <w:tcW w:w="2888" w:type="dxa"/>
            <w:noWrap w:val="0"/>
            <w:vAlign w:val="center"/>
          </w:tcPr>
          <w:p w14:paraId="4BF7F137">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 格 要 求</w:t>
            </w:r>
          </w:p>
        </w:tc>
        <w:tc>
          <w:tcPr>
            <w:tcW w:w="2887" w:type="dxa"/>
            <w:noWrap w:val="0"/>
            <w:vAlign w:val="center"/>
          </w:tcPr>
          <w:p w14:paraId="263A6945">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在岗要求</w:t>
            </w:r>
          </w:p>
        </w:tc>
      </w:tr>
      <w:tr w14:paraId="02F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6D68B24B">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1559" w:type="dxa"/>
            <w:noWrap w:val="0"/>
            <w:vAlign w:val="center"/>
          </w:tcPr>
          <w:p w14:paraId="2A3F12B0">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37ABD631">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具有公路工程专业二级及以上建造师证书且证书目前必须注册在投标人单位，具有交通运输主管部门颁发的安全生产考核合格“B”类证书并在有效期内且证书目前必须注册在投标人单位</w:t>
            </w:r>
          </w:p>
        </w:tc>
        <w:tc>
          <w:tcPr>
            <w:tcW w:w="2887" w:type="dxa"/>
            <w:vMerge w:val="restart"/>
            <w:noWrap w:val="0"/>
            <w:vAlign w:val="center"/>
          </w:tcPr>
          <w:p w14:paraId="5274594B">
            <w:pPr>
              <w:pageBreakBefore w:val="0"/>
              <w:kinsoku/>
              <w:wordWrap w:val="0"/>
              <w:bidi w:val="0"/>
              <w:adjustRightInd w:val="0"/>
              <w:snapToGrid w:val="0"/>
              <w:spacing w:line="300" w:lineRule="auto"/>
              <w:rPr>
                <w:rFonts w:hint="default" w:ascii="Times New Roman" w:hAnsi="Times New Roman" w:cs="Times New Roman"/>
                <w:highlight w:val="none"/>
              </w:rPr>
            </w:pPr>
            <w:r>
              <w:rPr>
                <w:rFonts w:hint="default" w:ascii="Times New Roman" w:hAnsi="Times New Roman" w:cs="Times New Roman"/>
                <w:highlight w:val="none"/>
              </w:rPr>
              <w:t>无在岗项目（指目前未在其他项目上任职，或虽在其他项目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 xml:space="preserve">任职但本项目中标后能够从该项目撤离） </w:t>
            </w:r>
          </w:p>
          <w:p w14:paraId="331FA72E">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highlight w:val="none"/>
              </w:rPr>
              <w:t>项目经理和项目总工程师不得同时在两个及以上项目任职</w:t>
            </w:r>
          </w:p>
        </w:tc>
      </w:tr>
      <w:tr w14:paraId="30C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79521CC7">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项目总工</w:t>
            </w:r>
          </w:p>
        </w:tc>
        <w:tc>
          <w:tcPr>
            <w:tcW w:w="1559" w:type="dxa"/>
            <w:noWrap w:val="0"/>
            <w:vAlign w:val="center"/>
          </w:tcPr>
          <w:p w14:paraId="0B331567">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3800CD02">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公路工程相关专业中级及以上技术职称。</w:t>
            </w:r>
          </w:p>
          <w:p w14:paraId="12D4016B">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c>
          <w:tcPr>
            <w:tcW w:w="2887" w:type="dxa"/>
            <w:vMerge w:val="continue"/>
            <w:noWrap w:val="0"/>
            <w:vAlign w:val="center"/>
          </w:tcPr>
          <w:p w14:paraId="21972E11">
            <w:pPr>
              <w:pageBreakBefore w:val="0"/>
              <w:kinsoku/>
              <w:wordWrap w:val="0"/>
              <w:bidi w:val="0"/>
              <w:adjustRightInd w:val="0"/>
              <w:snapToGrid w:val="0"/>
              <w:spacing w:line="300" w:lineRule="auto"/>
              <w:rPr>
                <w:rFonts w:hint="default" w:ascii="Times New Roman" w:hAnsi="Times New Roman" w:cs="Times New Roman"/>
                <w:szCs w:val="21"/>
                <w:highlight w:val="none"/>
              </w:rPr>
            </w:pPr>
          </w:p>
        </w:tc>
      </w:tr>
    </w:tbl>
    <w:p w14:paraId="08B6681A">
      <w:pPr>
        <w:pageBreakBefore w:val="0"/>
        <w:kinsoku/>
        <w:wordWrap w:val="0"/>
        <w:bidi w:val="0"/>
        <w:adjustRightInd w:val="0"/>
        <w:snapToGrid w:val="0"/>
        <w:spacing w:line="240" w:lineRule="exact"/>
        <w:rPr>
          <w:rFonts w:hint="default" w:ascii="Times New Roman" w:hAnsi="Times New Roman" w:eastAsia="隶书" w:cs="Times New Roman"/>
          <w:b/>
          <w:bCs/>
          <w:sz w:val="32"/>
          <w:szCs w:val="32"/>
          <w:highlight w:val="none"/>
        </w:rPr>
      </w:pPr>
    </w:p>
    <w:p w14:paraId="0648EB67">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szCs w:val="21"/>
          <w:highlight w:val="none"/>
        </w:rPr>
      </w:pPr>
    </w:p>
    <w:p w14:paraId="6AAABD6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7" w:name="_Toc234832868"/>
      <w:r>
        <w:rPr>
          <w:rFonts w:hint="default" w:ascii="Times New Roman" w:hAnsi="Times New Roman" w:eastAsia="黑体" w:cs="Times New Roman"/>
          <w:sz w:val="28"/>
          <w:szCs w:val="28"/>
          <w:highlight w:val="none"/>
        </w:rPr>
        <w:br w:type="page"/>
      </w:r>
      <w:bookmarkStart w:id="58" w:name="_Toc31407"/>
      <w:bookmarkStart w:id="59" w:name="_Toc29411"/>
      <w:r>
        <w:rPr>
          <w:rFonts w:hint="default" w:ascii="Times New Roman" w:hAnsi="Times New Roman" w:eastAsia="黑体" w:cs="Times New Roman"/>
          <w:sz w:val="28"/>
          <w:szCs w:val="28"/>
          <w:highlight w:val="none"/>
        </w:rPr>
        <w:t>附录6  资格审查条件（其他管理和技术人员最低要求）</w:t>
      </w:r>
      <w:r>
        <w:rPr>
          <w:rFonts w:hint="default" w:ascii="Times New Roman" w:hAnsi="Times New Roman" w:eastAsia="黑体" w:cs="Times New Roman"/>
          <w:sz w:val="28"/>
          <w:szCs w:val="28"/>
          <w:highlight w:val="none"/>
          <w:vertAlign w:val="superscript"/>
        </w:rPr>
        <w:footnoteReference w:id="16"/>
      </w:r>
      <w:bookmarkEnd w:id="57"/>
      <w:bookmarkEnd w:id="58"/>
      <w:bookmarkEnd w:id="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71E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741CF3D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1331" w:type="dxa"/>
            <w:noWrap w:val="0"/>
            <w:vAlign w:val="center"/>
          </w:tcPr>
          <w:p w14:paraId="676D165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5847" w:type="dxa"/>
            <w:noWrap w:val="0"/>
            <w:vAlign w:val="center"/>
          </w:tcPr>
          <w:p w14:paraId="29EADCF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2C7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6FC184B">
            <w:pPr>
              <w:pageBreakBefore w:val="0"/>
              <w:kinsoku/>
              <w:wordWrap w:val="0"/>
              <w:bidi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331" w:type="dxa"/>
            <w:noWrap w:val="0"/>
            <w:vAlign w:val="center"/>
          </w:tcPr>
          <w:p w14:paraId="0EE82975">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5847" w:type="dxa"/>
            <w:noWrap w:val="0"/>
            <w:vAlign w:val="center"/>
          </w:tcPr>
          <w:p w14:paraId="47335B31">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5CE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6DDBD097">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0ED3B3F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49BBBCBD">
            <w:pPr>
              <w:pageBreakBefore w:val="0"/>
              <w:kinsoku/>
              <w:wordWrap w:val="0"/>
              <w:bidi w:val="0"/>
              <w:spacing w:line="400" w:lineRule="atLeast"/>
              <w:rPr>
                <w:rFonts w:hint="default" w:ascii="Times New Roman" w:hAnsi="Times New Roman" w:cs="Times New Roman"/>
                <w:sz w:val="24"/>
                <w:highlight w:val="none"/>
              </w:rPr>
            </w:pPr>
          </w:p>
        </w:tc>
      </w:tr>
      <w:tr w14:paraId="0E6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5E42E97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6B92E5D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34BAB323">
            <w:pPr>
              <w:pageBreakBefore w:val="0"/>
              <w:kinsoku/>
              <w:wordWrap w:val="0"/>
              <w:bidi w:val="0"/>
              <w:spacing w:line="400" w:lineRule="atLeast"/>
              <w:rPr>
                <w:rFonts w:hint="default" w:ascii="Times New Roman" w:hAnsi="Times New Roman" w:cs="Times New Roman"/>
                <w:sz w:val="24"/>
                <w:highlight w:val="none"/>
              </w:rPr>
            </w:pPr>
          </w:p>
        </w:tc>
      </w:tr>
      <w:tr w14:paraId="2EF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411C0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F214A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69CFB0D">
            <w:pPr>
              <w:pageBreakBefore w:val="0"/>
              <w:kinsoku/>
              <w:wordWrap w:val="0"/>
              <w:bidi w:val="0"/>
              <w:spacing w:line="400" w:lineRule="atLeast"/>
              <w:rPr>
                <w:rFonts w:hint="default" w:ascii="Times New Roman" w:hAnsi="Times New Roman" w:cs="Times New Roman"/>
                <w:sz w:val="24"/>
                <w:highlight w:val="none"/>
              </w:rPr>
            </w:pPr>
          </w:p>
        </w:tc>
      </w:tr>
      <w:tr w14:paraId="794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7BA9EE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2F6E0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03611C8">
            <w:pPr>
              <w:pageBreakBefore w:val="0"/>
              <w:kinsoku/>
              <w:wordWrap w:val="0"/>
              <w:bidi w:val="0"/>
              <w:spacing w:line="400" w:lineRule="atLeast"/>
              <w:rPr>
                <w:rFonts w:hint="default" w:ascii="Times New Roman" w:hAnsi="Times New Roman" w:cs="Times New Roman"/>
                <w:sz w:val="24"/>
                <w:highlight w:val="none"/>
              </w:rPr>
            </w:pPr>
          </w:p>
        </w:tc>
      </w:tr>
      <w:tr w14:paraId="666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E9C01DC">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4A266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C9A55DC">
            <w:pPr>
              <w:pageBreakBefore w:val="0"/>
              <w:kinsoku/>
              <w:wordWrap w:val="0"/>
              <w:bidi w:val="0"/>
              <w:spacing w:line="400" w:lineRule="atLeast"/>
              <w:rPr>
                <w:rFonts w:hint="default" w:ascii="Times New Roman" w:hAnsi="Times New Roman" w:cs="Times New Roman"/>
                <w:sz w:val="24"/>
                <w:highlight w:val="none"/>
              </w:rPr>
            </w:pPr>
          </w:p>
        </w:tc>
      </w:tr>
      <w:tr w14:paraId="0E4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2ACBCA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2B2CD4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7AD0625">
            <w:pPr>
              <w:pageBreakBefore w:val="0"/>
              <w:kinsoku/>
              <w:wordWrap w:val="0"/>
              <w:bidi w:val="0"/>
              <w:spacing w:line="400" w:lineRule="atLeast"/>
              <w:rPr>
                <w:rFonts w:hint="default" w:ascii="Times New Roman" w:hAnsi="Times New Roman" w:cs="Times New Roman"/>
                <w:sz w:val="24"/>
                <w:highlight w:val="none"/>
              </w:rPr>
            </w:pPr>
          </w:p>
        </w:tc>
      </w:tr>
      <w:tr w14:paraId="42A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E38E7E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2C2E46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5849E4C">
            <w:pPr>
              <w:pageBreakBefore w:val="0"/>
              <w:kinsoku/>
              <w:wordWrap w:val="0"/>
              <w:bidi w:val="0"/>
              <w:spacing w:line="400" w:lineRule="atLeast"/>
              <w:rPr>
                <w:rFonts w:hint="default" w:ascii="Times New Roman" w:hAnsi="Times New Roman" w:cs="Times New Roman"/>
                <w:sz w:val="24"/>
                <w:highlight w:val="none"/>
              </w:rPr>
            </w:pPr>
          </w:p>
        </w:tc>
      </w:tr>
      <w:tr w14:paraId="2B18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7041F8D">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8A891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16300F0">
            <w:pPr>
              <w:pageBreakBefore w:val="0"/>
              <w:kinsoku/>
              <w:wordWrap w:val="0"/>
              <w:bidi w:val="0"/>
              <w:spacing w:line="400" w:lineRule="atLeast"/>
              <w:rPr>
                <w:rFonts w:hint="default" w:ascii="Times New Roman" w:hAnsi="Times New Roman" w:cs="Times New Roman"/>
                <w:sz w:val="24"/>
                <w:highlight w:val="none"/>
              </w:rPr>
            </w:pPr>
          </w:p>
        </w:tc>
      </w:tr>
      <w:tr w14:paraId="5B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C99E5E">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DCFE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F229B63">
            <w:pPr>
              <w:pageBreakBefore w:val="0"/>
              <w:kinsoku/>
              <w:wordWrap w:val="0"/>
              <w:bidi w:val="0"/>
              <w:spacing w:line="400" w:lineRule="atLeast"/>
              <w:rPr>
                <w:rFonts w:hint="default" w:ascii="Times New Roman" w:hAnsi="Times New Roman" w:cs="Times New Roman"/>
                <w:sz w:val="24"/>
                <w:highlight w:val="none"/>
              </w:rPr>
            </w:pPr>
          </w:p>
        </w:tc>
      </w:tr>
      <w:tr w14:paraId="720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C2B32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B8118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7A2E0E">
            <w:pPr>
              <w:pageBreakBefore w:val="0"/>
              <w:kinsoku/>
              <w:wordWrap w:val="0"/>
              <w:bidi w:val="0"/>
              <w:spacing w:line="400" w:lineRule="atLeast"/>
              <w:rPr>
                <w:rFonts w:hint="default" w:ascii="Times New Roman" w:hAnsi="Times New Roman" w:cs="Times New Roman"/>
                <w:sz w:val="24"/>
                <w:highlight w:val="none"/>
              </w:rPr>
            </w:pPr>
          </w:p>
        </w:tc>
      </w:tr>
      <w:tr w14:paraId="335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B0CD53">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6123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7FCDCB8">
            <w:pPr>
              <w:pageBreakBefore w:val="0"/>
              <w:kinsoku/>
              <w:wordWrap w:val="0"/>
              <w:bidi w:val="0"/>
              <w:spacing w:line="400" w:lineRule="atLeast"/>
              <w:rPr>
                <w:rFonts w:hint="default" w:ascii="Times New Roman" w:hAnsi="Times New Roman" w:cs="Times New Roman"/>
                <w:sz w:val="24"/>
                <w:highlight w:val="none"/>
              </w:rPr>
            </w:pPr>
          </w:p>
        </w:tc>
      </w:tr>
      <w:tr w14:paraId="4D1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6742AB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6FC3A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49957B2">
            <w:pPr>
              <w:pageBreakBefore w:val="0"/>
              <w:kinsoku/>
              <w:wordWrap w:val="0"/>
              <w:bidi w:val="0"/>
              <w:spacing w:line="400" w:lineRule="atLeast"/>
              <w:rPr>
                <w:rFonts w:hint="default" w:ascii="Times New Roman" w:hAnsi="Times New Roman" w:cs="Times New Roman"/>
                <w:sz w:val="24"/>
                <w:highlight w:val="none"/>
              </w:rPr>
            </w:pPr>
          </w:p>
        </w:tc>
      </w:tr>
      <w:tr w14:paraId="6BB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B5303DB">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367C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738E5A">
            <w:pPr>
              <w:pageBreakBefore w:val="0"/>
              <w:kinsoku/>
              <w:wordWrap w:val="0"/>
              <w:bidi w:val="0"/>
              <w:spacing w:line="400" w:lineRule="atLeast"/>
              <w:rPr>
                <w:rFonts w:hint="default" w:ascii="Times New Roman" w:hAnsi="Times New Roman" w:cs="Times New Roman"/>
                <w:sz w:val="24"/>
                <w:highlight w:val="none"/>
              </w:rPr>
            </w:pPr>
          </w:p>
        </w:tc>
      </w:tr>
      <w:tr w14:paraId="415B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94768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815902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D1557D8">
            <w:pPr>
              <w:pageBreakBefore w:val="0"/>
              <w:kinsoku/>
              <w:wordWrap w:val="0"/>
              <w:bidi w:val="0"/>
              <w:spacing w:line="400" w:lineRule="atLeast"/>
              <w:rPr>
                <w:rFonts w:hint="default" w:ascii="Times New Roman" w:hAnsi="Times New Roman" w:cs="Times New Roman"/>
                <w:sz w:val="24"/>
                <w:highlight w:val="none"/>
              </w:rPr>
            </w:pPr>
          </w:p>
        </w:tc>
      </w:tr>
      <w:tr w14:paraId="00B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D47B32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9776D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ED5B339">
            <w:pPr>
              <w:pageBreakBefore w:val="0"/>
              <w:kinsoku/>
              <w:wordWrap w:val="0"/>
              <w:bidi w:val="0"/>
              <w:spacing w:line="400" w:lineRule="atLeast"/>
              <w:rPr>
                <w:rFonts w:hint="default" w:ascii="Times New Roman" w:hAnsi="Times New Roman" w:cs="Times New Roman"/>
                <w:sz w:val="24"/>
                <w:highlight w:val="none"/>
              </w:rPr>
            </w:pPr>
          </w:p>
        </w:tc>
      </w:tr>
    </w:tbl>
    <w:p w14:paraId="3CEF78D0">
      <w:pPr>
        <w:pageBreakBefore w:val="0"/>
        <w:kinsoku/>
        <w:wordWrap w:val="0"/>
        <w:bidi w:val="0"/>
        <w:adjustRightInd w:val="0"/>
        <w:snapToGrid w:val="0"/>
        <w:spacing w:line="400" w:lineRule="atLeast"/>
        <w:jc w:val="center"/>
        <w:rPr>
          <w:rFonts w:hint="default" w:ascii="Times New Roman" w:hAnsi="Times New Roman" w:eastAsia="黑体" w:cs="Times New Roman"/>
          <w:sz w:val="24"/>
          <w:highlight w:val="none"/>
        </w:rPr>
      </w:pPr>
    </w:p>
    <w:p w14:paraId="77BAF68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60" w:name="_Toc234832869"/>
      <w:bookmarkStart w:id="61" w:name="_Toc29351"/>
      <w:bookmarkStart w:id="62" w:name="_Toc10276"/>
      <w:r>
        <w:rPr>
          <w:rFonts w:hint="default" w:ascii="Times New Roman" w:hAnsi="Times New Roman" w:eastAsia="黑体" w:cs="Times New Roman"/>
          <w:sz w:val="28"/>
          <w:szCs w:val="28"/>
          <w:highlight w:val="none"/>
        </w:rPr>
        <w:t>附录7  资格审查条件（主要机械设备和试验检测设备最低要求）</w:t>
      </w:r>
      <w:r>
        <w:rPr>
          <w:rFonts w:hint="default" w:ascii="Times New Roman" w:hAnsi="Times New Roman" w:eastAsia="黑体" w:cs="Times New Roman"/>
          <w:sz w:val="28"/>
          <w:szCs w:val="28"/>
          <w:highlight w:val="none"/>
          <w:vertAlign w:val="superscript"/>
        </w:rPr>
        <w:footnoteReference w:id="17"/>
      </w:r>
      <w:bookmarkEnd w:id="60"/>
      <w:bookmarkEnd w:id="61"/>
      <w:bookmarkEnd w:id="6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5543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A2813C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3224" w:type="dxa"/>
            <w:noWrap w:val="0"/>
            <w:vAlign w:val="center"/>
          </w:tcPr>
          <w:p w14:paraId="26A771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197" w:type="dxa"/>
            <w:noWrap w:val="0"/>
            <w:vAlign w:val="center"/>
          </w:tcPr>
          <w:p w14:paraId="6B58991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371" w:type="dxa"/>
            <w:noWrap w:val="0"/>
            <w:vAlign w:val="center"/>
          </w:tcPr>
          <w:p w14:paraId="766481F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4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A580F8E">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3224" w:type="dxa"/>
            <w:noWrap w:val="0"/>
            <w:vAlign w:val="center"/>
          </w:tcPr>
          <w:p w14:paraId="1877A6A5">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197" w:type="dxa"/>
            <w:noWrap w:val="0"/>
            <w:vAlign w:val="center"/>
          </w:tcPr>
          <w:p w14:paraId="25DBB269">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2371" w:type="dxa"/>
            <w:noWrap w:val="0"/>
            <w:vAlign w:val="center"/>
          </w:tcPr>
          <w:p w14:paraId="283ACEF8">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703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E31CB0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CBBB21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7FFFC22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196B8A">
            <w:pPr>
              <w:pageBreakBefore w:val="0"/>
              <w:kinsoku/>
              <w:wordWrap w:val="0"/>
              <w:bidi w:val="0"/>
              <w:spacing w:line="400" w:lineRule="atLeast"/>
              <w:rPr>
                <w:rFonts w:hint="default" w:ascii="Times New Roman" w:hAnsi="Times New Roman" w:cs="Times New Roman"/>
                <w:sz w:val="24"/>
                <w:highlight w:val="none"/>
              </w:rPr>
            </w:pPr>
          </w:p>
        </w:tc>
      </w:tr>
      <w:tr w14:paraId="4D8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D6B18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60C5D0C9">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4C63D6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A8B0670">
            <w:pPr>
              <w:pageBreakBefore w:val="0"/>
              <w:kinsoku/>
              <w:wordWrap w:val="0"/>
              <w:bidi w:val="0"/>
              <w:spacing w:line="400" w:lineRule="atLeast"/>
              <w:rPr>
                <w:rFonts w:hint="default" w:ascii="Times New Roman" w:hAnsi="Times New Roman" w:cs="Times New Roman"/>
                <w:sz w:val="24"/>
                <w:highlight w:val="none"/>
              </w:rPr>
            </w:pPr>
          </w:p>
        </w:tc>
      </w:tr>
      <w:tr w14:paraId="4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C37D9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52EA368">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D891C5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15ABA204">
            <w:pPr>
              <w:pageBreakBefore w:val="0"/>
              <w:kinsoku/>
              <w:wordWrap w:val="0"/>
              <w:bidi w:val="0"/>
              <w:spacing w:line="400" w:lineRule="atLeast"/>
              <w:rPr>
                <w:rFonts w:hint="default" w:ascii="Times New Roman" w:hAnsi="Times New Roman" w:cs="Times New Roman"/>
                <w:sz w:val="24"/>
                <w:highlight w:val="none"/>
              </w:rPr>
            </w:pPr>
          </w:p>
        </w:tc>
      </w:tr>
      <w:tr w14:paraId="7A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333A20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261BC43C">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27E9F08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1BBAC3B">
            <w:pPr>
              <w:pageBreakBefore w:val="0"/>
              <w:kinsoku/>
              <w:wordWrap w:val="0"/>
              <w:bidi w:val="0"/>
              <w:spacing w:line="400" w:lineRule="atLeast"/>
              <w:rPr>
                <w:rFonts w:hint="default" w:ascii="Times New Roman" w:hAnsi="Times New Roman" w:cs="Times New Roman"/>
                <w:sz w:val="24"/>
                <w:highlight w:val="none"/>
              </w:rPr>
            </w:pPr>
          </w:p>
        </w:tc>
      </w:tr>
      <w:tr w14:paraId="6D3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872DA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2EEC4EF">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3A5F02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D8309EC">
            <w:pPr>
              <w:pageBreakBefore w:val="0"/>
              <w:kinsoku/>
              <w:wordWrap w:val="0"/>
              <w:bidi w:val="0"/>
              <w:spacing w:line="400" w:lineRule="atLeast"/>
              <w:rPr>
                <w:rFonts w:hint="default" w:ascii="Times New Roman" w:hAnsi="Times New Roman" w:cs="Times New Roman"/>
                <w:sz w:val="24"/>
                <w:highlight w:val="none"/>
              </w:rPr>
            </w:pPr>
          </w:p>
        </w:tc>
      </w:tr>
      <w:tr w14:paraId="6563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698555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E197B2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299D9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C9AE02B">
            <w:pPr>
              <w:pageBreakBefore w:val="0"/>
              <w:kinsoku/>
              <w:wordWrap w:val="0"/>
              <w:bidi w:val="0"/>
              <w:spacing w:line="400" w:lineRule="atLeast"/>
              <w:rPr>
                <w:rFonts w:hint="default" w:ascii="Times New Roman" w:hAnsi="Times New Roman" w:cs="Times New Roman"/>
                <w:sz w:val="24"/>
                <w:highlight w:val="none"/>
              </w:rPr>
            </w:pPr>
          </w:p>
        </w:tc>
      </w:tr>
      <w:tr w14:paraId="2AD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A4932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0FAA96A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5A6B9E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BF63B00">
            <w:pPr>
              <w:pageBreakBefore w:val="0"/>
              <w:kinsoku/>
              <w:wordWrap w:val="0"/>
              <w:bidi w:val="0"/>
              <w:spacing w:line="400" w:lineRule="atLeast"/>
              <w:rPr>
                <w:rFonts w:hint="default" w:ascii="Times New Roman" w:hAnsi="Times New Roman" w:cs="Times New Roman"/>
                <w:sz w:val="24"/>
                <w:highlight w:val="none"/>
              </w:rPr>
            </w:pPr>
          </w:p>
        </w:tc>
      </w:tr>
      <w:tr w14:paraId="642D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59AB77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4E9B2A72">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62D5ED1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2232169">
            <w:pPr>
              <w:pageBreakBefore w:val="0"/>
              <w:kinsoku/>
              <w:wordWrap w:val="0"/>
              <w:bidi w:val="0"/>
              <w:spacing w:line="400" w:lineRule="atLeast"/>
              <w:rPr>
                <w:rFonts w:hint="default" w:ascii="Times New Roman" w:hAnsi="Times New Roman" w:cs="Times New Roman"/>
                <w:sz w:val="24"/>
                <w:highlight w:val="none"/>
              </w:rPr>
            </w:pPr>
          </w:p>
        </w:tc>
      </w:tr>
      <w:tr w14:paraId="72B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26AFC2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9457E7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0CA70C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6A130A">
            <w:pPr>
              <w:pageBreakBefore w:val="0"/>
              <w:kinsoku/>
              <w:wordWrap w:val="0"/>
              <w:bidi w:val="0"/>
              <w:spacing w:line="400" w:lineRule="atLeast"/>
              <w:rPr>
                <w:rFonts w:hint="default" w:ascii="Times New Roman" w:hAnsi="Times New Roman" w:cs="Times New Roman"/>
                <w:sz w:val="24"/>
                <w:highlight w:val="none"/>
              </w:rPr>
            </w:pPr>
          </w:p>
        </w:tc>
      </w:tr>
      <w:tr w14:paraId="5FEB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1A3511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26BE5E3">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F964C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2136A40">
            <w:pPr>
              <w:pageBreakBefore w:val="0"/>
              <w:kinsoku/>
              <w:wordWrap w:val="0"/>
              <w:bidi w:val="0"/>
              <w:spacing w:line="400" w:lineRule="atLeast"/>
              <w:rPr>
                <w:rFonts w:hint="default" w:ascii="Times New Roman" w:hAnsi="Times New Roman" w:cs="Times New Roman"/>
                <w:sz w:val="24"/>
                <w:highlight w:val="none"/>
              </w:rPr>
            </w:pPr>
          </w:p>
        </w:tc>
      </w:tr>
      <w:tr w14:paraId="084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56654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2A8C1F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C1404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B9573B8">
            <w:pPr>
              <w:pageBreakBefore w:val="0"/>
              <w:kinsoku/>
              <w:wordWrap w:val="0"/>
              <w:bidi w:val="0"/>
              <w:spacing w:line="400" w:lineRule="atLeast"/>
              <w:rPr>
                <w:rFonts w:hint="default" w:ascii="Times New Roman" w:hAnsi="Times New Roman" w:cs="Times New Roman"/>
                <w:sz w:val="24"/>
                <w:highlight w:val="none"/>
              </w:rPr>
            </w:pPr>
          </w:p>
        </w:tc>
      </w:tr>
      <w:tr w14:paraId="466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27D43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B985FA5">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13E6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AE470D9">
            <w:pPr>
              <w:pageBreakBefore w:val="0"/>
              <w:kinsoku/>
              <w:wordWrap w:val="0"/>
              <w:bidi w:val="0"/>
              <w:spacing w:line="400" w:lineRule="atLeast"/>
              <w:rPr>
                <w:rFonts w:hint="default" w:ascii="Times New Roman" w:hAnsi="Times New Roman" w:cs="Times New Roman"/>
                <w:sz w:val="24"/>
                <w:highlight w:val="none"/>
              </w:rPr>
            </w:pPr>
          </w:p>
        </w:tc>
      </w:tr>
      <w:tr w14:paraId="701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63AD962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FA5947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08EA9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81D3E0F">
            <w:pPr>
              <w:pageBreakBefore w:val="0"/>
              <w:kinsoku/>
              <w:wordWrap w:val="0"/>
              <w:bidi w:val="0"/>
              <w:spacing w:line="400" w:lineRule="atLeast"/>
              <w:rPr>
                <w:rFonts w:hint="default" w:ascii="Times New Roman" w:hAnsi="Times New Roman" w:cs="Times New Roman"/>
                <w:sz w:val="24"/>
                <w:highlight w:val="none"/>
              </w:rPr>
            </w:pPr>
          </w:p>
        </w:tc>
      </w:tr>
      <w:tr w14:paraId="3C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C2D80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7E8F6D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1F539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932BC2A">
            <w:pPr>
              <w:pageBreakBefore w:val="0"/>
              <w:kinsoku/>
              <w:wordWrap w:val="0"/>
              <w:bidi w:val="0"/>
              <w:spacing w:line="400" w:lineRule="atLeast"/>
              <w:rPr>
                <w:rFonts w:hint="default" w:ascii="Times New Roman" w:hAnsi="Times New Roman" w:cs="Times New Roman"/>
                <w:sz w:val="24"/>
                <w:highlight w:val="none"/>
              </w:rPr>
            </w:pPr>
          </w:p>
        </w:tc>
      </w:tr>
      <w:tr w14:paraId="026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303952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4965181F">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AC4FE3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63C26D43">
            <w:pPr>
              <w:pageBreakBefore w:val="0"/>
              <w:kinsoku/>
              <w:wordWrap w:val="0"/>
              <w:bidi w:val="0"/>
              <w:spacing w:line="400" w:lineRule="atLeast"/>
              <w:rPr>
                <w:rFonts w:hint="default" w:ascii="Times New Roman" w:hAnsi="Times New Roman" w:cs="Times New Roman"/>
                <w:sz w:val="24"/>
                <w:highlight w:val="none"/>
              </w:rPr>
            </w:pPr>
          </w:p>
        </w:tc>
      </w:tr>
    </w:tbl>
    <w:p w14:paraId="2A72FD3A">
      <w:pPr>
        <w:pageBreakBefore w:val="0"/>
        <w:kinsoku/>
        <w:wordWrap w:val="0"/>
        <w:bidi w:val="0"/>
        <w:adjustRightInd w:val="0"/>
        <w:snapToGrid w:val="0"/>
        <w:spacing w:line="400" w:lineRule="atLeast"/>
        <w:rPr>
          <w:rFonts w:hint="default" w:ascii="Times New Roman" w:hAnsi="Times New Roman" w:cs="Times New Roman"/>
          <w:bCs/>
          <w:highlight w:val="none"/>
        </w:rPr>
      </w:pPr>
    </w:p>
    <w:p w14:paraId="31C4B43F">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cs="Times New Roman"/>
          <w:sz w:val="24"/>
          <w:highlight w:val="none"/>
        </w:rPr>
        <w:br w:type="page"/>
      </w:r>
      <w:bookmarkStart w:id="63" w:name="_Toc32159"/>
      <w:bookmarkStart w:id="64" w:name="_Toc234832870"/>
      <w:bookmarkStart w:id="65" w:name="_Toc31675"/>
      <w:r>
        <w:rPr>
          <w:rFonts w:hint="default" w:ascii="Times New Roman" w:hAnsi="Times New Roman" w:eastAsia="黑体" w:cs="Times New Roman"/>
          <w:b w:val="0"/>
          <w:sz w:val="28"/>
          <w:szCs w:val="28"/>
          <w:highlight w:val="none"/>
        </w:rPr>
        <w:t>1. 总则</w:t>
      </w:r>
      <w:bookmarkEnd w:id="63"/>
      <w:bookmarkEnd w:id="64"/>
      <w:bookmarkEnd w:id="65"/>
    </w:p>
    <w:p w14:paraId="50A1F606">
      <w:pPr>
        <w:pStyle w:val="2"/>
        <w:pageBreakBefore w:val="0"/>
        <w:kinsoku/>
        <w:wordWrap w:val="0"/>
        <w:bidi w:val="0"/>
        <w:spacing w:before="240" w:after="240" w:line="240" w:lineRule="atLeast"/>
        <w:rPr>
          <w:rFonts w:hint="default" w:ascii="Times New Roman" w:hAnsi="Times New Roman" w:eastAsia="宋体" w:cs="Times New Roman"/>
          <w:b w:val="0"/>
          <w:sz w:val="24"/>
          <w:szCs w:val="24"/>
          <w:highlight w:val="none"/>
        </w:rPr>
      </w:pPr>
      <w:bookmarkStart w:id="66" w:name="_Toc234832871"/>
      <w:bookmarkStart w:id="67" w:name="_Toc17948"/>
      <w:bookmarkStart w:id="68" w:name="_Toc8323"/>
      <w:r>
        <w:rPr>
          <w:rFonts w:hint="default" w:ascii="Times New Roman" w:hAnsi="Times New Roman" w:eastAsia="黑体" w:cs="Times New Roman"/>
          <w:b w:val="0"/>
          <w:sz w:val="24"/>
          <w:szCs w:val="24"/>
          <w:highlight w:val="none"/>
        </w:rPr>
        <w:t>1.1 项目概况</w:t>
      </w:r>
      <w:bookmarkEnd w:id="66"/>
      <w:bookmarkEnd w:id="67"/>
      <w:bookmarkEnd w:id="68"/>
    </w:p>
    <w:p w14:paraId="172918B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A6BF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1.1.2 本招标项目招标人：见投标人须知前附表。</w:t>
      </w:r>
    </w:p>
    <w:p w14:paraId="5BEFB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1.1.3 本标段招标代理机构：见投标人须知前附表。</w:t>
      </w:r>
    </w:p>
    <w:p w14:paraId="20C4924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1.1.4 本招标项目名称：见投标人须知前附表。</w:t>
      </w:r>
    </w:p>
    <w:p w14:paraId="02AAB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1.1.5 本标段建设地点：见投标人须知前附表。</w:t>
      </w:r>
    </w:p>
    <w:p w14:paraId="0DBDEA5E">
      <w:pPr>
        <w:pStyle w:val="2"/>
        <w:pageBreakBefore w:val="0"/>
        <w:kinsoku/>
        <w:wordWrap w:val="0"/>
        <w:bidi w:val="0"/>
        <w:rPr>
          <w:rFonts w:hint="default" w:ascii="Times New Roman" w:hAnsi="Times New Roman" w:cs="Times New Roman"/>
          <w:highlight w:val="none"/>
        </w:rPr>
      </w:pPr>
      <w:bookmarkStart w:id="69" w:name="_Toc234832872"/>
      <w:bookmarkStart w:id="70" w:name="_Toc31027"/>
      <w:bookmarkStart w:id="71" w:name="_Toc22508"/>
      <w:r>
        <w:rPr>
          <w:rFonts w:hint="default" w:ascii="Times New Roman" w:hAnsi="Times New Roman" w:cs="Times New Roman"/>
          <w:highlight w:val="none"/>
        </w:rPr>
        <w:t>1.2 招标项目的资金来源和落实情况</w:t>
      </w:r>
      <w:bookmarkEnd w:id="69"/>
      <w:bookmarkEnd w:id="70"/>
      <w:bookmarkEnd w:id="71"/>
      <w:r>
        <w:rPr>
          <w:rFonts w:hint="default" w:ascii="Times New Roman" w:hAnsi="Times New Roman" w:cs="Times New Roman"/>
          <w:highlight w:val="none"/>
        </w:rPr>
        <w:t xml:space="preserve"> </w:t>
      </w:r>
    </w:p>
    <w:p w14:paraId="72745DA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1.2.1 资金来源及比例：见投标人须知前附表。</w:t>
      </w:r>
    </w:p>
    <w:p w14:paraId="071B94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1.2.2 资金落实情况：见投标人须知前附表。</w:t>
      </w:r>
    </w:p>
    <w:p w14:paraId="0C315536">
      <w:pPr>
        <w:pStyle w:val="2"/>
        <w:pageBreakBefore w:val="0"/>
        <w:kinsoku/>
        <w:wordWrap w:val="0"/>
        <w:bidi w:val="0"/>
        <w:rPr>
          <w:rFonts w:hint="default" w:ascii="Times New Roman" w:hAnsi="Times New Roman" w:cs="Times New Roman"/>
          <w:highlight w:val="none"/>
        </w:rPr>
      </w:pPr>
      <w:bookmarkStart w:id="72" w:name="_Toc234832873"/>
      <w:bookmarkStart w:id="73" w:name="_Toc26878"/>
      <w:bookmarkStart w:id="74" w:name="_Toc10840"/>
      <w:r>
        <w:rPr>
          <w:rFonts w:hint="default" w:ascii="Times New Roman" w:hAnsi="Times New Roman" w:cs="Times New Roman"/>
          <w:highlight w:val="none"/>
        </w:rPr>
        <w:t>1.3 招标范围、计划工期、质量要求</w:t>
      </w:r>
      <w:bookmarkEnd w:id="72"/>
      <w:r>
        <w:rPr>
          <w:rFonts w:hint="default" w:ascii="Times New Roman" w:hAnsi="Times New Roman" w:cs="Times New Roman"/>
          <w:highlight w:val="none"/>
        </w:rPr>
        <w:t>和安全目标</w:t>
      </w:r>
      <w:bookmarkEnd w:id="73"/>
      <w:bookmarkEnd w:id="74"/>
    </w:p>
    <w:p w14:paraId="390576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1.3.1 招标范围：见投标人须知前附表。</w:t>
      </w:r>
    </w:p>
    <w:p w14:paraId="36EB96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1.3.2 本标段的计划工期：见投标人须知前附表。</w:t>
      </w:r>
    </w:p>
    <w:p w14:paraId="5B3E4DF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1.3.3 本标段的质量要求：见投标人须知前附表。</w:t>
      </w:r>
    </w:p>
    <w:p w14:paraId="16E89B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1.3.4 本标段的安全目标：见投标人须知前附表。</w:t>
      </w:r>
    </w:p>
    <w:p w14:paraId="738501D8">
      <w:pPr>
        <w:pStyle w:val="2"/>
        <w:pageBreakBefore w:val="0"/>
        <w:kinsoku/>
        <w:wordWrap w:val="0"/>
        <w:bidi w:val="0"/>
        <w:rPr>
          <w:rFonts w:hint="default" w:ascii="Times New Roman" w:hAnsi="Times New Roman" w:cs="Times New Roman"/>
          <w:highlight w:val="none"/>
        </w:rPr>
      </w:pPr>
      <w:bookmarkStart w:id="75" w:name="_Toc32367"/>
      <w:bookmarkStart w:id="76" w:name="_Toc32570"/>
      <w:bookmarkStart w:id="77" w:name="_Toc234832875"/>
      <w:r>
        <w:rPr>
          <w:rFonts w:hint="default" w:ascii="Times New Roman" w:hAnsi="Times New Roman" w:cs="Times New Roman"/>
          <w:highlight w:val="none"/>
        </w:rPr>
        <w:t>1.4 投标人资格要求</w:t>
      </w:r>
      <w:bookmarkEnd w:id="75"/>
      <w:bookmarkEnd w:id="76"/>
      <w:bookmarkEnd w:id="77"/>
    </w:p>
    <w:p w14:paraId="6773F73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1.4.1 投标人应具备承担本标段施工的资质条件、能力和信誉。</w:t>
      </w:r>
    </w:p>
    <w:p w14:paraId="330C54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（1）资质要求：见投标人须知前附表；</w:t>
      </w:r>
    </w:p>
    <w:p w14:paraId="5A18C57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（2）财务要求：见投标人须知前附表；</w:t>
      </w:r>
    </w:p>
    <w:p w14:paraId="4ED5012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（3）业绩要求：见投标人须知前附表；</w:t>
      </w:r>
    </w:p>
    <w:p w14:paraId="7F986421">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（4）信誉要求：见投标人须知前附表；</w:t>
      </w:r>
    </w:p>
    <w:p w14:paraId="6989ED9C">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（5）项目经理和项目总工资格：见投标人须知前附表；</w:t>
      </w:r>
    </w:p>
    <w:p w14:paraId="761BD0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（6）其他要求：见投标人须知前附表。</w:t>
      </w:r>
    </w:p>
    <w:p w14:paraId="547D248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需要提交的相关证明材料见本章第3.5款的规定。</w:t>
      </w:r>
    </w:p>
    <w:p w14:paraId="1A962D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1.4.2 投标人须知前附表规定接受联合体投标的，联合体除应符合本章第1.4.1项和投标人须知前附表的要求外，还应遵守以下规定：</w:t>
      </w:r>
    </w:p>
    <w:p w14:paraId="4474AE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（1）联合体各方应按招标文件提供的格式签订联合体协议书，明确联合体牵头人和各方权利义务，并承诺就中标项目向招标人承担连带责任；</w:t>
      </w:r>
    </w:p>
    <w:p w14:paraId="076DB1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（2）由同一专业的单位组成的联合体，按照资质等级较低的单位确定资质等级；</w:t>
      </w:r>
    </w:p>
    <w:p w14:paraId="7A5387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（3）联合体各方不得再以自己名义单独或参加其他联合体在同一标段中投标；</w:t>
      </w:r>
    </w:p>
    <w:p w14:paraId="7A911F6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9F80CBC">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5）尽管委任了联合体牵头人，但联合体各成员在投标、签订合同与履行合同过程中，仍负有连带的和各自的法律责任。</w:t>
      </w:r>
    </w:p>
    <w:p w14:paraId="088B92BA">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1.4.3 投标人（包括联合体各成员）不得与本标段相关单位存在下列关联关系：</w:t>
      </w:r>
    </w:p>
    <w:p w14:paraId="17A31E7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（1）为招标人不具有独立法人资格的附属机构（单位）；</w:t>
      </w:r>
    </w:p>
    <w:p w14:paraId="19B48CC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（2）与招标人存在利害关系且可能影响招标公正性；</w:t>
      </w:r>
    </w:p>
    <w:p w14:paraId="63519E63">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（3）与本标段的其他投标人同为一个单位负责人；</w:t>
      </w:r>
    </w:p>
    <w:p w14:paraId="371EED2A">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（4）与本标段的其他投标人存在控股、管理关系；</w:t>
      </w:r>
    </w:p>
    <w:p w14:paraId="7D898D8E">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（5）为本标段前期准备提供设计或咨询服务的法人或其任何附属机构（单位）；</w:t>
      </w:r>
    </w:p>
    <w:p w14:paraId="305137F4">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（6）为本标段的监理人；</w:t>
      </w:r>
    </w:p>
    <w:p w14:paraId="29D0BD8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（7）为本标段的代建人；</w:t>
      </w:r>
    </w:p>
    <w:p w14:paraId="25AE50F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（8）为本标段的招标代理机构；</w:t>
      </w:r>
    </w:p>
    <w:p w14:paraId="56A51C0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（9）与本标段的监理人或代建人或招标代理机构同为一个法定代表人；</w:t>
      </w:r>
    </w:p>
    <w:p w14:paraId="62EB55A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（10）与本标段的监理人或代建人或招标代理机构存在控股或参股关系；</w:t>
      </w:r>
    </w:p>
    <w:p w14:paraId="12CF916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（11）法律法规或投标人须知前附表规定的其他情形。</w:t>
      </w:r>
    </w:p>
    <w:p w14:paraId="1B4BCC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1.4.4 投标人（包括联合体各成员）不得存在下列不良状况或不良信用记录：</w:t>
      </w:r>
    </w:p>
    <w:p w14:paraId="323AC2C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（1）被省级及以上交通运输主管部门取消招标项目所在地的投标资格且处于有效期内；</w:t>
      </w:r>
    </w:p>
    <w:p w14:paraId="51BCA172">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（2）被责令停业，暂扣或吊销执照，或吊销资质证书；</w:t>
      </w:r>
    </w:p>
    <w:p w14:paraId="1C7C5440">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（3）进入清算程序，或被宣告破产，或其他丧失履约能力的情形；</w:t>
      </w:r>
    </w:p>
    <w:p w14:paraId="187E3BB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（4）在国家企业信用信息公示系统（http://www.gsxt.gov.cn/）中被列入严重违法失信企业名单；</w:t>
      </w:r>
    </w:p>
    <w:p w14:paraId="42EB904B">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（5）在</w:t>
      </w:r>
      <w:r>
        <w:rPr>
          <w:rFonts w:hint="eastAsia" w:ascii="宋体" w:hAnsi="宋体" w:eastAsia="宋体" w:cs="宋体"/>
          <w:highlight w:val="none"/>
        </w:rPr>
        <w:t>“</w:t>
      </w:r>
      <w:r>
        <w:rPr>
          <w:rFonts w:hint="default" w:ascii="Times New Roman" w:hAnsi="Times New Roman" w:eastAsia="宋体" w:cs="Times New Roman"/>
          <w:highlight w:val="none"/>
        </w:rPr>
        <w:t>信用中国</w:t>
      </w:r>
      <w:r>
        <w:rPr>
          <w:rFonts w:hint="eastAsia" w:ascii="宋体" w:hAnsi="宋体" w:eastAsia="宋体" w:cs="宋体"/>
          <w:highlight w:val="none"/>
        </w:rPr>
        <w:t>”</w:t>
      </w:r>
      <w:r>
        <w:rPr>
          <w:rFonts w:hint="default" w:ascii="Times New Roman" w:hAnsi="Times New Roman" w:eastAsia="宋体" w:cs="Times New Roman"/>
          <w:highlight w:val="none"/>
        </w:rPr>
        <w:t>网站（http://www.creditchina.gov.cn/）中被列入失信被执行人名单；</w:t>
      </w:r>
    </w:p>
    <w:p w14:paraId="046E1FE5">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（6）投标人或其法定代表人、拟委任的项目经理在近三年内有行贿犯罪行为的；</w:t>
      </w:r>
    </w:p>
    <w:p w14:paraId="6598E0F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（7）法律法规或投标人须知前附表规定的其他情形。</w:t>
      </w:r>
    </w:p>
    <w:p w14:paraId="38FFBD41">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kern w:val="0"/>
          <w:highlight w:val="none"/>
        </w:rPr>
        <w:t>1.4.5 根据《关于发布公路工程从业企业资质名录的通知》（厅公路字〔2011〕114号）要求，投标人如为名录范围的施工企业，则应进入交通运输部“全国公路建设市场监督管理系统（https://hwdms.mot.gov.cn/BMWebSite/ ） ”中的公路工程施工资质企业名录，且投标人名称和资质与该名录中的相应企业名称和资质完全一致。</w:t>
      </w:r>
      <w:r>
        <w:rPr>
          <w:rFonts w:hint="default" w:ascii="Times New Roman" w:hAnsi="Times New Roman" w:eastAsia="宋体" w:cs="Times New Roman"/>
          <w:kern w:val="0"/>
          <w:highlight w:val="none"/>
          <w:vertAlign w:val="superscript"/>
        </w:rPr>
        <w:footnoteReference w:id="18"/>
      </w:r>
    </w:p>
    <w:p w14:paraId="20340719">
      <w:pPr>
        <w:pStyle w:val="2"/>
        <w:pageBreakBefore w:val="0"/>
        <w:kinsoku/>
        <w:wordWrap w:val="0"/>
        <w:bidi w:val="0"/>
        <w:rPr>
          <w:rFonts w:hint="default" w:ascii="Times New Roman" w:hAnsi="Times New Roman" w:cs="Times New Roman"/>
          <w:highlight w:val="none"/>
        </w:rPr>
      </w:pPr>
      <w:bookmarkStart w:id="78" w:name="_Toc21019"/>
      <w:bookmarkStart w:id="79" w:name="_Toc14149"/>
      <w:bookmarkStart w:id="80" w:name="_Toc234832876"/>
      <w:r>
        <w:rPr>
          <w:rFonts w:hint="default" w:ascii="Times New Roman" w:hAnsi="Times New Roman" w:cs="Times New Roman"/>
          <w:highlight w:val="none"/>
        </w:rPr>
        <w:t>1.5 费用承担</w:t>
      </w:r>
      <w:bookmarkEnd w:id="78"/>
      <w:bookmarkEnd w:id="79"/>
      <w:bookmarkEnd w:id="80"/>
    </w:p>
    <w:p w14:paraId="222328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投标人准备和参加投标活动发生的费用自理。</w:t>
      </w:r>
    </w:p>
    <w:p w14:paraId="03A5C7D5">
      <w:pPr>
        <w:pStyle w:val="2"/>
        <w:pageBreakBefore w:val="0"/>
        <w:kinsoku/>
        <w:wordWrap w:val="0"/>
        <w:bidi w:val="0"/>
        <w:rPr>
          <w:rFonts w:hint="default" w:ascii="Times New Roman" w:hAnsi="Times New Roman" w:cs="Times New Roman"/>
          <w:highlight w:val="none"/>
        </w:rPr>
      </w:pPr>
      <w:bookmarkStart w:id="81" w:name="_Toc234832877"/>
      <w:bookmarkStart w:id="82" w:name="_Toc1390"/>
      <w:bookmarkStart w:id="83" w:name="_Toc26593"/>
      <w:r>
        <w:rPr>
          <w:rFonts w:hint="default" w:ascii="Times New Roman" w:hAnsi="Times New Roman" w:cs="Times New Roman"/>
          <w:highlight w:val="none"/>
        </w:rPr>
        <w:t>1.6 保密</w:t>
      </w:r>
      <w:bookmarkEnd w:id="81"/>
      <w:bookmarkEnd w:id="82"/>
      <w:bookmarkEnd w:id="83"/>
    </w:p>
    <w:p w14:paraId="0E73BE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参与招标投标活动的各方应对招标文件和投标文件中的商业和技术等秘密保密，</w:t>
      </w:r>
      <w:r>
        <w:rPr>
          <w:rFonts w:hint="default" w:ascii="Times New Roman" w:hAnsi="Times New Roman" w:eastAsia="宋体" w:cs="Times New Roman"/>
          <w:kern w:val="0"/>
          <w:sz w:val="24"/>
          <w:szCs w:val="20"/>
          <w:highlight w:val="none"/>
        </w:rPr>
        <w:t>否则应承担相应的法律责任。</w:t>
      </w:r>
    </w:p>
    <w:p w14:paraId="4144A806">
      <w:pPr>
        <w:pStyle w:val="2"/>
        <w:pageBreakBefore w:val="0"/>
        <w:kinsoku/>
        <w:wordWrap w:val="0"/>
        <w:bidi w:val="0"/>
        <w:rPr>
          <w:rFonts w:hint="default" w:ascii="Times New Roman" w:hAnsi="Times New Roman" w:cs="Times New Roman"/>
          <w:highlight w:val="none"/>
        </w:rPr>
      </w:pPr>
      <w:bookmarkStart w:id="84" w:name="_Toc5479"/>
      <w:bookmarkStart w:id="85" w:name="_Toc234832878"/>
      <w:bookmarkStart w:id="86" w:name="_Toc24962"/>
      <w:r>
        <w:rPr>
          <w:rFonts w:hint="default" w:ascii="Times New Roman" w:hAnsi="Times New Roman" w:cs="Times New Roman"/>
          <w:highlight w:val="none"/>
        </w:rPr>
        <w:t>1.7 语言文字</w:t>
      </w:r>
      <w:bookmarkEnd w:id="84"/>
      <w:bookmarkEnd w:id="85"/>
      <w:bookmarkEnd w:id="86"/>
    </w:p>
    <w:p w14:paraId="58F71453">
      <w:pPr>
        <w:pageBreakBefore w:val="0"/>
        <w:kinsoku/>
        <w:wordWrap w:val="0"/>
        <w:bidi w:val="0"/>
        <w:spacing w:line="400" w:lineRule="atLeast"/>
        <w:ind w:firstLine="480" w:firstLineChars="200"/>
        <w:rPr>
          <w:rFonts w:hint="default" w:ascii="Times New Roman" w:hAnsi="Times New Roman" w:eastAsia="宋体" w:cs="Times New Roman"/>
          <w:kern w:val="0"/>
          <w:sz w:val="24"/>
          <w:szCs w:val="20"/>
          <w:highlight w:val="none"/>
        </w:rPr>
      </w:pPr>
      <w:r>
        <w:rPr>
          <w:rFonts w:hint="default" w:ascii="Times New Roman" w:hAnsi="Times New Roman" w:eastAsia="宋体" w:cs="Times New Roman"/>
          <w:kern w:val="0"/>
          <w:sz w:val="24"/>
          <w:szCs w:val="20"/>
          <w:highlight w:val="none"/>
        </w:rPr>
        <w:t>招标投标文件使用的语言文字为中文。专用术语使用外文的，应附有中文注释。</w:t>
      </w:r>
    </w:p>
    <w:p w14:paraId="0793EBBE">
      <w:pPr>
        <w:pStyle w:val="2"/>
        <w:pageBreakBefore w:val="0"/>
        <w:kinsoku/>
        <w:wordWrap w:val="0"/>
        <w:bidi w:val="0"/>
        <w:rPr>
          <w:rFonts w:hint="default" w:ascii="Times New Roman" w:hAnsi="Times New Roman" w:cs="Times New Roman"/>
          <w:highlight w:val="none"/>
        </w:rPr>
      </w:pPr>
      <w:bookmarkStart w:id="87" w:name="_Toc15691"/>
      <w:bookmarkStart w:id="88" w:name="_Toc234832879"/>
      <w:bookmarkStart w:id="89" w:name="_Toc7349"/>
      <w:r>
        <w:rPr>
          <w:rFonts w:hint="default" w:ascii="Times New Roman" w:hAnsi="Times New Roman" w:cs="Times New Roman"/>
          <w:highlight w:val="none"/>
        </w:rPr>
        <w:t>1.8 计量单位</w:t>
      </w:r>
      <w:bookmarkEnd w:id="87"/>
      <w:bookmarkEnd w:id="88"/>
      <w:bookmarkEnd w:id="89"/>
    </w:p>
    <w:p w14:paraId="20ECBFC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所有计量均采用中华人民共和国法定计量单位。</w:t>
      </w:r>
    </w:p>
    <w:p w14:paraId="6CD464EF">
      <w:pPr>
        <w:pStyle w:val="2"/>
        <w:pageBreakBefore w:val="0"/>
        <w:kinsoku/>
        <w:wordWrap w:val="0"/>
        <w:bidi w:val="0"/>
        <w:rPr>
          <w:rFonts w:hint="default" w:ascii="Times New Roman" w:hAnsi="Times New Roman" w:cs="Times New Roman"/>
          <w:highlight w:val="none"/>
        </w:rPr>
      </w:pPr>
      <w:bookmarkStart w:id="90" w:name="_Toc11612"/>
      <w:bookmarkStart w:id="91" w:name="_Toc9045"/>
      <w:bookmarkStart w:id="92" w:name="_Toc234832880"/>
      <w:r>
        <w:rPr>
          <w:rFonts w:hint="default" w:ascii="Times New Roman" w:hAnsi="Times New Roman" w:cs="Times New Roman"/>
          <w:highlight w:val="none"/>
        </w:rPr>
        <w:t>1.9 踏勘现场</w:t>
      </w:r>
      <w:bookmarkEnd w:id="90"/>
      <w:bookmarkEnd w:id="91"/>
      <w:bookmarkEnd w:id="92"/>
    </w:p>
    <w:p w14:paraId="16777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规定组织踏勘现场的，招标人按规定的时间、地点组织投标人踏勘项目现场。部分投标人未按时参加踏勘现场的，不影响踏勘现场的正常进行。招标人不得组织单个或部分投标人踏勘项目现场。</w:t>
      </w:r>
    </w:p>
    <w:p w14:paraId="4550F6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1.9.2 投标人踏勘现场发生的费用自理。</w:t>
      </w:r>
    </w:p>
    <w:p w14:paraId="2880130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1.9.3 除招标人的原因外，投标人自行负责在踏勘现场中所发生的人员伤亡和财产损失。</w:t>
      </w:r>
    </w:p>
    <w:p w14:paraId="02B33D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1.9.4 招标人在踏勘现场中介绍的工程场地和相关的周边环境情况，供投标人在编制投标文件时参考，招标人不对投标人据此作出的判断和决策负责。</w:t>
      </w:r>
    </w:p>
    <w:p w14:paraId="5A768B1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8B412A5">
      <w:pPr>
        <w:pStyle w:val="2"/>
        <w:pageBreakBefore w:val="0"/>
        <w:kinsoku/>
        <w:wordWrap w:val="0"/>
        <w:bidi w:val="0"/>
        <w:rPr>
          <w:rFonts w:hint="default" w:ascii="Times New Roman" w:hAnsi="Times New Roman" w:cs="Times New Roman"/>
          <w:highlight w:val="none"/>
        </w:rPr>
      </w:pPr>
      <w:bookmarkStart w:id="93" w:name="_Toc26806"/>
      <w:bookmarkStart w:id="94" w:name="_Toc234832881"/>
      <w:bookmarkStart w:id="95" w:name="_Toc17701"/>
      <w:r>
        <w:rPr>
          <w:rFonts w:hint="default" w:ascii="Times New Roman" w:hAnsi="Times New Roman" w:cs="Times New Roman"/>
          <w:highlight w:val="none"/>
        </w:rPr>
        <w:t>1.10 投标预备会</w:t>
      </w:r>
      <w:bookmarkEnd w:id="93"/>
      <w:bookmarkEnd w:id="94"/>
      <w:bookmarkEnd w:id="95"/>
    </w:p>
    <w:p w14:paraId="7938F68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1.10.1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规定召开投标预备会的，招标人按规定的时间和地点召开投标预备会，澄清投标人提出的问题。</w:t>
      </w:r>
    </w:p>
    <w:p w14:paraId="0A01EC8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1.10.2 投标人应按投标人须知前附表规定的时间和形式将提出的问题送达招标人，以便招标人在会议期间澄清。</w:t>
      </w:r>
    </w:p>
    <w:p w14:paraId="1AD4156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1.10.3 投标预备会后，招标人将对投标人所提问题的澄清，以本章第2.2款规定的形式通知所有</w:t>
      </w:r>
      <w:r>
        <w:rPr>
          <w:rFonts w:hint="default" w:ascii="Times New Roman" w:hAnsi="Times New Roman" w:cs="Times New Roman"/>
          <w:szCs w:val="24"/>
          <w:highlight w:val="none"/>
          <w:lang w:eastAsia="zh-CN"/>
        </w:rPr>
        <w:t>获取招标文件</w:t>
      </w:r>
      <w:r>
        <w:rPr>
          <w:rFonts w:hint="default" w:ascii="Times New Roman" w:hAnsi="Times New Roman" w:eastAsia="宋体" w:cs="Times New Roman"/>
          <w:szCs w:val="24"/>
          <w:highlight w:val="none"/>
        </w:rPr>
        <w:t>的投标人。该澄清内容为招标文件的组成部分。</w:t>
      </w:r>
    </w:p>
    <w:p w14:paraId="55172056">
      <w:pPr>
        <w:pStyle w:val="2"/>
        <w:pageBreakBefore w:val="0"/>
        <w:kinsoku/>
        <w:wordWrap w:val="0"/>
        <w:bidi w:val="0"/>
        <w:rPr>
          <w:rFonts w:hint="default" w:ascii="Times New Roman" w:hAnsi="Times New Roman" w:cs="Times New Roman"/>
          <w:highlight w:val="none"/>
        </w:rPr>
      </w:pPr>
      <w:bookmarkStart w:id="96" w:name="_Toc10304"/>
      <w:bookmarkStart w:id="97" w:name="_Toc18178"/>
      <w:bookmarkStart w:id="98" w:name="_Toc234832882"/>
      <w:r>
        <w:rPr>
          <w:rFonts w:hint="default" w:ascii="Times New Roman" w:hAnsi="Times New Roman" w:cs="Times New Roman"/>
          <w:highlight w:val="none"/>
        </w:rPr>
        <w:t>1.11 分包</w:t>
      </w:r>
      <w:bookmarkEnd w:id="96"/>
      <w:bookmarkEnd w:id="97"/>
      <w:bookmarkEnd w:id="98"/>
    </w:p>
    <w:p w14:paraId="0959DB5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1.11.1 投标人拟在中标后将中标项目的部分工作进行分包的，应按辽宁省交通运输厅关于印发《辽宁省公路工程施工分包管理实施细则》的通知（辽交公路规〔2025〕1 号）要求执行</w:t>
      </w:r>
      <w:r>
        <w:rPr>
          <w:rFonts w:hint="default" w:ascii="Times New Roman" w:hAnsi="Times New Roman" w:eastAsia="宋体" w:cs="Times New Roman"/>
          <w:szCs w:val="24"/>
          <w:highlight w:val="none"/>
        </w:rPr>
        <w:t>。</w:t>
      </w:r>
    </w:p>
    <w:p w14:paraId="45C4231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1.11.2 中标人不得向他人转让中标项目，接受分包的人不得再次分包。中标人应就分包项目向招标人负责，接受分包的人就分包项目承担连带责任。</w:t>
      </w:r>
    </w:p>
    <w:p w14:paraId="56CA7D5A">
      <w:pPr>
        <w:pStyle w:val="2"/>
        <w:pageBreakBefore w:val="0"/>
        <w:kinsoku/>
        <w:wordWrap w:val="0"/>
        <w:bidi w:val="0"/>
        <w:rPr>
          <w:rFonts w:hint="default" w:ascii="Times New Roman" w:hAnsi="Times New Roman" w:cs="Times New Roman"/>
          <w:highlight w:val="none"/>
        </w:rPr>
      </w:pPr>
      <w:bookmarkStart w:id="99" w:name="_Toc234832883"/>
      <w:bookmarkStart w:id="100" w:name="_Toc8706"/>
      <w:bookmarkStart w:id="101" w:name="_Toc10366"/>
      <w:r>
        <w:rPr>
          <w:rFonts w:hint="default" w:ascii="Times New Roman" w:hAnsi="Times New Roman" w:cs="Times New Roman"/>
          <w:highlight w:val="none"/>
        </w:rPr>
        <w:t xml:space="preserve">1.12 </w:t>
      </w:r>
      <w:bookmarkEnd w:id="99"/>
      <w:r>
        <w:rPr>
          <w:rFonts w:hint="default" w:ascii="Times New Roman" w:hAnsi="Times New Roman" w:cs="Times New Roman"/>
          <w:highlight w:val="none"/>
        </w:rPr>
        <w:t>响应和偏差</w:t>
      </w:r>
      <w:bookmarkEnd w:id="100"/>
      <w:bookmarkEnd w:id="101"/>
    </w:p>
    <w:p w14:paraId="6B6B77A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1.12.1 投标文件偏离招标文件某些要求，视为投标文件存在偏差。偏差包括重大偏差和细微偏差。</w:t>
      </w:r>
    </w:p>
    <w:p w14:paraId="7592C4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1.12.2 投标文件应对招标文件的实质性要求和条件作出满足性或更有利于招标人的响应，否则，视为投标文件存在重大偏差，投标人的投标将被否决。</w:t>
      </w:r>
    </w:p>
    <w:p w14:paraId="7A8B2B2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投标文件存在第三章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中所列任一否决投标情形的，均属于存在重大偏差。</w:t>
      </w:r>
    </w:p>
    <w:p w14:paraId="4AD93257">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1.12.3 投标文件中的下列偏差为细微偏差：</w:t>
      </w:r>
    </w:p>
    <w:p w14:paraId="5787498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（1）在按照第三章“评标办法 ”的规定对投标价进行其他错误修正后，最终投标报价未超过最高投标限价（如有）的情况下，出现第三章“评标办法 ”规定的投标报价其他错误；</w:t>
      </w:r>
    </w:p>
    <w:p w14:paraId="7AF642A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（2）施工组织设计（含关键工程技术方案）和项目管理机构不够完善；</w:t>
      </w:r>
    </w:p>
    <w:p w14:paraId="1069552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（3）投标文件个别文字有遗漏错误等不影响投标文件实质性内容的偏差。</w:t>
      </w:r>
    </w:p>
    <w:p w14:paraId="4F67F9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1.12.4 评标委员会对投标文件中的细微偏差按如下规定处理：</w:t>
      </w:r>
    </w:p>
    <w:p w14:paraId="4688A0C5">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（1）对于本章第1.12.3项（1）目所述的细微偏差，按照第三章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的规定予以修正并要求投标人进行澄清；</w:t>
      </w:r>
    </w:p>
    <w:p w14:paraId="03F6B682">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402B27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（3）对于本章第1.12.3项（3）目所述的细微偏差，可要求投标人对细微偏差进行澄清。</w:t>
      </w:r>
    </w:p>
    <w:p w14:paraId="2A2B4CD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1.12.5 投标人应根据招标文件的要求提供施工组织设计等内容以对招标文件作出响应。</w:t>
      </w:r>
    </w:p>
    <w:p w14:paraId="0D71146C">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02" w:name="_Toc28741"/>
      <w:bookmarkStart w:id="103" w:name="_Toc27589"/>
      <w:bookmarkStart w:id="104" w:name="_Toc234832884"/>
      <w:r>
        <w:rPr>
          <w:rFonts w:hint="default" w:ascii="Times New Roman" w:hAnsi="Times New Roman" w:eastAsia="黑体" w:cs="Times New Roman"/>
          <w:b w:val="0"/>
          <w:sz w:val="28"/>
          <w:szCs w:val="28"/>
          <w:highlight w:val="none"/>
        </w:rPr>
        <w:t>2. 招标文件</w:t>
      </w:r>
      <w:bookmarkEnd w:id="102"/>
      <w:bookmarkEnd w:id="103"/>
      <w:bookmarkEnd w:id="104"/>
    </w:p>
    <w:p w14:paraId="474200D6">
      <w:pPr>
        <w:pStyle w:val="2"/>
        <w:pageBreakBefore w:val="0"/>
        <w:kinsoku/>
        <w:wordWrap w:val="0"/>
        <w:bidi w:val="0"/>
        <w:rPr>
          <w:rFonts w:hint="default" w:ascii="Times New Roman" w:hAnsi="Times New Roman" w:eastAsia="黑体" w:cs="Times New Roman"/>
          <w:highlight w:val="none"/>
        </w:rPr>
      </w:pPr>
      <w:bookmarkStart w:id="105" w:name="_Toc234832885"/>
      <w:bookmarkStart w:id="106" w:name="_Toc12252"/>
      <w:bookmarkStart w:id="107" w:name="_Toc2276"/>
      <w:r>
        <w:rPr>
          <w:rFonts w:hint="default" w:ascii="Times New Roman" w:hAnsi="Times New Roman" w:eastAsia="黑体" w:cs="Times New Roman"/>
          <w:highlight w:val="none"/>
        </w:rPr>
        <w:t>2.1 招标文件的组成</w:t>
      </w:r>
      <w:bookmarkEnd w:id="105"/>
      <w:bookmarkEnd w:id="106"/>
      <w:bookmarkEnd w:id="107"/>
    </w:p>
    <w:p w14:paraId="22430E8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本招标文件包括：</w:t>
      </w:r>
    </w:p>
    <w:p w14:paraId="41229C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（1）招标公告；</w:t>
      </w:r>
    </w:p>
    <w:p w14:paraId="62F754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（2）投标人须知；</w:t>
      </w:r>
    </w:p>
    <w:p w14:paraId="268CC2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（3）评标办法；</w:t>
      </w:r>
    </w:p>
    <w:p w14:paraId="301810D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（4）合同条款及格式；</w:t>
      </w:r>
    </w:p>
    <w:p w14:paraId="7340C7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（5）工程量清单；</w:t>
      </w:r>
    </w:p>
    <w:p w14:paraId="26EA487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（6）图纸；</w:t>
      </w:r>
    </w:p>
    <w:p w14:paraId="72DF47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（7）技术规范；</w:t>
      </w:r>
    </w:p>
    <w:p w14:paraId="3CD89159">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（8）工程量清单计量规则；</w:t>
      </w:r>
    </w:p>
    <w:p w14:paraId="17317A3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（9）投标文件格式；</w:t>
      </w:r>
    </w:p>
    <w:p w14:paraId="39CD3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（10）投标人须知前附表规定的其他资料。</w:t>
      </w:r>
    </w:p>
    <w:p w14:paraId="1AFE4A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根据本章第1.10款、第2.2款和第2.3款对招标文件所作的澄清、修改，构成招标文件的组成部分。</w:t>
      </w:r>
    </w:p>
    <w:p w14:paraId="4775769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当招标文件、招标文件的澄清或修改等在同一内容的表述上不一致时，以最后发出的书面文件为准。</w:t>
      </w:r>
    </w:p>
    <w:p w14:paraId="63628608">
      <w:pPr>
        <w:pStyle w:val="2"/>
        <w:pageBreakBefore w:val="0"/>
        <w:kinsoku/>
        <w:wordWrap w:val="0"/>
        <w:bidi w:val="0"/>
        <w:rPr>
          <w:rFonts w:hint="default" w:ascii="Times New Roman" w:hAnsi="Times New Roman" w:cs="Times New Roman"/>
          <w:highlight w:val="none"/>
        </w:rPr>
      </w:pPr>
      <w:bookmarkStart w:id="108" w:name="_Toc6916"/>
      <w:bookmarkStart w:id="109" w:name="_Toc234832886"/>
      <w:bookmarkStart w:id="110" w:name="_Toc25152"/>
      <w:r>
        <w:rPr>
          <w:rFonts w:hint="default" w:ascii="Times New Roman" w:hAnsi="Times New Roman" w:cs="Times New Roman"/>
          <w:highlight w:val="none"/>
        </w:rPr>
        <w:t>2.2 招标文件的澄清</w:t>
      </w:r>
      <w:bookmarkEnd w:id="108"/>
      <w:bookmarkEnd w:id="109"/>
      <w:bookmarkEnd w:id="110"/>
    </w:p>
    <w:p w14:paraId="232C69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4A683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招标文件的澄清以投标人须知前附表规定的形式发给所有</w:t>
      </w:r>
      <w:r>
        <w:rPr>
          <w:rFonts w:hint="default" w:ascii="Times New Roman" w:hAnsi="Times New Roman" w:cs="Times New Roman"/>
          <w:sz w:val="24"/>
          <w:highlight w:val="none"/>
          <w:lang w:eastAsia="zh-CN"/>
        </w:rPr>
        <w:t>获取招标文件</w:t>
      </w:r>
      <w:r>
        <w:rPr>
          <w:rFonts w:hint="default" w:ascii="Times New Roman" w:hAnsi="Times New Roman" w:eastAsia="宋体" w:cs="Times New Roman"/>
          <w:sz w:val="24"/>
          <w:highlight w:val="none"/>
        </w:rPr>
        <w:t>的投标人，但不指明澄清问题的来源。澄清发出的时间距本章第4.2.1项规定的投标截止时间不足15日，且澄清内容可能影响投标文件编制的，将相应延长投标截止时间。</w:t>
      </w:r>
    </w:p>
    <w:p w14:paraId="5EA3FF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2.2.3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按照投标人须知前附表要求及时收悉澄清内容。</w:t>
      </w:r>
      <w:r>
        <w:rPr>
          <w:rFonts w:hint="default" w:ascii="Times New Roman" w:hAnsi="Times New Roman" w:cs="Times New Roman"/>
          <w:sz w:val="24"/>
          <w:highlight w:val="none"/>
        </w:rPr>
        <w:t>投标人应注意及时浏览网上发出的澄清，因投标人自身原因未及时获知澄清内容而导致的任何后果将由投标人自行承担</w:t>
      </w:r>
      <w:r>
        <w:rPr>
          <w:rFonts w:hint="default" w:ascii="Times New Roman" w:hAnsi="Times New Roman" w:eastAsia="宋体" w:cs="Times New Roman"/>
          <w:sz w:val="24"/>
          <w:highlight w:val="none"/>
        </w:rPr>
        <w:t>。</w:t>
      </w:r>
    </w:p>
    <w:p w14:paraId="289B31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除非招标人认为确有必要答复，否则，招标人有权拒绝回复投标人在本章第2.2.1项规定的时间后提出的任何澄清要求。</w:t>
      </w:r>
    </w:p>
    <w:p w14:paraId="626EB0FE">
      <w:pPr>
        <w:pStyle w:val="2"/>
        <w:pageBreakBefore w:val="0"/>
        <w:kinsoku/>
        <w:wordWrap w:val="0"/>
        <w:bidi w:val="0"/>
        <w:rPr>
          <w:rFonts w:hint="default" w:ascii="Times New Roman" w:hAnsi="Times New Roman" w:cs="Times New Roman"/>
          <w:highlight w:val="none"/>
        </w:rPr>
      </w:pPr>
      <w:bookmarkStart w:id="111" w:name="_Toc9262"/>
      <w:bookmarkStart w:id="112" w:name="_Toc234832887"/>
      <w:bookmarkStart w:id="113" w:name="_Toc20407"/>
      <w:r>
        <w:rPr>
          <w:rFonts w:hint="default" w:ascii="Times New Roman" w:hAnsi="Times New Roman" w:cs="Times New Roman"/>
          <w:highlight w:val="none"/>
        </w:rPr>
        <w:t>2.3 招标文件的修改</w:t>
      </w:r>
      <w:bookmarkEnd w:id="111"/>
      <w:bookmarkEnd w:id="112"/>
      <w:bookmarkEnd w:id="113"/>
    </w:p>
    <w:p w14:paraId="7E5FBF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2.3.1 招标人以投标人须知前附表规定的形式修改招标文件。修改招标文件的时间距本章第 4.2.1 项规定的投标截止时间不足 15  日，且修改内容可能影响投标文件编制的，将相应延长投标截止时间。</w:t>
      </w:r>
    </w:p>
    <w:p w14:paraId="12C671D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2.3.2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内容</w:t>
      </w:r>
      <w:r>
        <w:rPr>
          <w:rFonts w:hint="default" w:ascii="Times New Roman" w:hAnsi="Times New Roman" w:cs="Times New Roman"/>
          <w:sz w:val="24"/>
          <w:highlight w:val="none"/>
        </w:rPr>
        <w:t>。投标人应注意及时浏览网上发出的修改，因投标人自身原因未及时获知修改内容而导致的任何后果将由投标人自行承担</w:t>
      </w:r>
      <w:r>
        <w:rPr>
          <w:rFonts w:hint="default" w:ascii="Times New Roman" w:hAnsi="Times New Roman" w:eastAsia="宋体" w:cs="Times New Roman"/>
          <w:sz w:val="24"/>
          <w:highlight w:val="none"/>
        </w:rPr>
        <w:t>。</w:t>
      </w:r>
    </w:p>
    <w:p w14:paraId="4B16BD12">
      <w:pPr>
        <w:pStyle w:val="2"/>
        <w:pageBreakBefore w:val="0"/>
        <w:kinsoku/>
        <w:wordWrap w:val="0"/>
        <w:bidi w:val="0"/>
        <w:rPr>
          <w:rFonts w:hint="default" w:ascii="Times New Roman" w:hAnsi="Times New Roman" w:cs="Times New Roman"/>
          <w:highlight w:val="none"/>
        </w:rPr>
      </w:pPr>
      <w:bookmarkStart w:id="114" w:name="_Toc5075"/>
      <w:bookmarkStart w:id="115" w:name="_Toc13132"/>
      <w:r>
        <w:rPr>
          <w:rFonts w:hint="default" w:ascii="Times New Roman" w:hAnsi="Times New Roman" w:cs="Times New Roman"/>
          <w:highlight w:val="none"/>
        </w:rPr>
        <w:t>2.4</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rPr>
        <w:t>招标文件的异议</w:t>
      </w:r>
      <w:bookmarkEnd w:id="114"/>
      <w:bookmarkEnd w:id="115"/>
    </w:p>
    <w:p w14:paraId="03AA78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投标人或其他利害关系人对招标文件有异议的，应在投标截止时间 10 日前以书面形式提出。招标人将在收到异议之日起 3 日内作出答复；作出答复前，将暂停招标投标活动。</w:t>
      </w:r>
    </w:p>
    <w:p w14:paraId="66CCFA8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16" w:name="_Toc5874"/>
      <w:bookmarkStart w:id="117" w:name="_Toc234832888"/>
      <w:bookmarkStart w:id="118" w:name="_Toc1614"/>
      <w:r>
        <w:rPr>
          <w:rFonts w:hint="default" w:ascii="Times New Roman" w:hAnsi="Times New Roman" w:eastAsia="黑体" w:cs="Times New Roman"/>
          <w:b w:val="0"/>
          <w:sz w:val="28"/>
          <w:szCs w:val="28"/>
          <w:highlight w:val="none"/>
        </w:rPr>
        <w:t>3. 投标文件</w:t>
      </w:r>
      <w:bookmarkEnd w:id="116"/>
      <w:bookmarkEnd w:id="117"/>
      <w:bookmarkEnd w:id="118"/>
    </w:p>
    <w:p w14:paraId="2AAE3ADA">
      <w:pPr>
        <w:pStyle w:val="2"/>
        <w:keepNext/>
        <w:keepLines/>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highlight w:val="none"/>
        </w:rPr>
      </w:pPr>
      <w:bookmarkStart w:id="119" w:name="_Toc234832889"/>
      <w:bookmarkStart w:id="120" w:name="_Toc1423"/>
      <w:bookmarkStart w:id="121" w:name="_Toc18046"/>
      <w:r>
        <w:rPr>
          <w:rFonts w:hint="default" w:ascii="Times New Roman" w:hAnsi="Times New Roman" w:cs="Times New Roman"/>
          <w:highlight w:val="none"/>
        </w:rPr>
        <w:t>3.1</w:t>
      </w:r>
      <w:r>
        <w:rPr>
          <w:rFonts w:hint="default" w:ascii="Times New Roman" w:hAnsi="Times New Roman" w:cs="Times New Roman"/>
          <w:highlight w:val="none"/>
        </w:rPr>
        <w:tab/>
      </w:r>
      <w:r>
        <w:rPr>
          <w:rFonts w:hint="default" w:ascii="Times New Roman" w:hAnsi="Times New Roman" w:cs="Times New Roman"/>
          <w:highlight w:val="none"/>
        </w:rPr>
        <w:t>投标文件的组成</w:t>
      </w:r>
      <w:bookmarkEnd w:id="119"/>
      <w:bookmarkEnd w:id="120"/>
      <w:bookmarkEnd w:id="121"/>
    </w:p>
    <w:p w14:paraId="1137072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投标文件应采用双信封形式，包括下列内容：</w:t>
      </w:r>
    </w:p>
    <w:p w14:paraId="56781A1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w:t>
      </w:r>
    </w:p>
    <w:p w14:paraId="3DE3C2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（1）投标函及投标函附录；</w:t>
      </w:r>
    </w:p>
    <w:p w14:paraId="4AD076C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（2）授权委托书或法定代表人身份证明；</w:t>
      </w:r>
    </w:p>
    <w:p w14:paraId="216783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（3）联合体协议书（如有）；</w:t>
      </w:r>
    </w:p>
    <w:p w14:paraId="372632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（4）投标保证金（如有）；</w:t>
      </w:r>
    </w:p>
    <w:p w14:paraId="7280386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（5）施工组织设计；</w:t>
      </w:r>
    </w:p>
    <w:p w14:paraId="7BE3E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（6）项目管理机构；</w:t>
      </w:r>
    </w:p>
    <w:p w14:paraId="050BC22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（7）拟分包项目情况表（如有）；</w:t>
      </w:r>
    </w:p>
    <w:p w14:paraId="2A3806A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（8）资格审查资料； </w:t>
      </w:r>
    </w:p>
    <w:p w14:paraId="7B8F7E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（9）投标人须知前附表规定的其他资料。</w:t>
      </w:r>
    </w:p>
    <w:p w14:paraId="19542EB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第二个信封（报价文件）：</w:t>
      </w:r>
    </w:p>
    <w:p w14:paraId="6F5F7F7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w:t>
      </w:r>
      <w:r>
        <w:rPr>
          <w:rFonts w:hint="eastAsia" w:cs="Times New Roman"/>
          <w:sz w:val="24"/>
          <w:highlight w:val="none"/>
          <w:lang w:val="en-US" w:eastAsia="zh-CN"/>
        </w:rPr>
        <w:t>1</w:t>
      </w:r>
      <w:r>
        <w:rPr>
          <w:rFonts w:hint="default" w:ascii="Times New Roman" w:hAnsi="Times New Roman" w:eastAsia="宋体" w:cs="Times New Roman"/>
          <w:sz w:val="24"/>
          <w:highlight w:val="none"/>
        </w:rPr>
        <w:t>）投标函；</w:t>
      </w:r>
    </w:p>
    <w:p w14:paraId="5C6C5B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w:t>
      </w:r>
      <w:r>
        <w:rPr>
          <w:rFonts w:hint="eastAsia" w:cs="Times New Roman"/>
          <w:sz w:val="24"/>
          <w:highlight w:val="none"/>
          <w:lang w:val="en-US" w:eastAsia="zh-CN"/>
        </w:rPr>
        <w:t>2</w:t>
      </w:r>
      <w:r>
        <w:rPr>
          <w:rFonts w:hint="default" w:ascii="Times New Roman" w:hAnsi="Times New Roman" w:eastAsia="宋体" w:cs="Times New Roman"/>
          <w:sz w:val="24"/>
          <w:highlight w:val="none"/>
        </w:rPr>
        <w:t>）已标价工程量清单；</w:t>
      </w:r>
    </w:p>
    <w:p w14:paraId="7C300DB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w:t>
      </w:r>
      <w:r>
        <w:rPr>
          <w:rFonts w:hint="eastAsia" w:cs="Times New Roman"/>
          <w:sz w:val="24"/>
          <w:highlight w:val="none"/>
          <w:lang w:val="en-US" w:eastAsia="zh-CN"/>
        </w:rPr>
        <w:t>3</w:t>
      </w:r>
      <w:r>
        <w:rPr>
          <w:rFonts w:hint="default" w:ascii="Times New Roman" w:hAnsi="Times New Roman" w:eastAsia="宋体" w:cs="Times New Roman"/>
          <w:sz w:val="24"/>
          <w:highlight w:val="none"/>
        </w:rPr>
        <w:t>）合同用款估算表。</w:t>
      </w:r>
    </w:p>
    <w:p w14:paraId="442D12A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投标人在评标过程中作出的符合法律法规和招标文件规定的澄清确认，构成投标文件的组成部分。</w:t>
      </w:r>
    </w:p>
    <w:p w14:paraId="16F29B5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3.1.2 投标人须知前附表规定不接受联合体投标的，或投标人没有组成联合体的，投标文件不包括本章第3.1.1（3）目所指的联合体协议书。</w:t>
      </w:r>
    </w:p>
    <w:p w14:paraId="4A08762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3.1.3 投标人须知前附表未要求提交投标保证金的，投标文件不包括本章第3.1.1（4）目所指的投标保证金。</w:t>
      </w:r>
    </w:p>
    <w:p w14:paraId="3E0DFBCD">
      <w:pPr>
        <w:pStyle w:val="2"/>
        <w:pageBreakBefore w:val="0"/>
        <w:kinsoku/>
        <w:wordWrap w:val="0"/>
        <w:bidi w:val="0"/>
        <w:rPr>
          <w:rFonts w:hint="default" w:ascii="Times New Roman" w:hAnsi="Times New Roman" w:cs="Times New Roman"/>
          <w:highlight w:val="none"/>
        </w:rPr>
      </w:pPr>
      <w:bookmarkStart w:id="122" w:name="_Toc234832890"/>
      <w:bookmarkStart w:id="123" w:name="_Toc29414"/>
      <w:bookmarkStart w:id="124" w:name="_Toc22349"/>
      <w:r>
        <w:rPr>
          <w:rFonts w:hint="default" w:ascii="Times New Roman" w:hAnsi="Times New Roman" w:cs="Times New Roman"/>
          <w:highlight w:val="none"/>
        </w:rPr>
        <w:t>3.2 投标报价</w:t>
      </w:r>
      <w:bookmarkEnd w:id="122"/>
      <w:bookmarkEnd w:id="123"/>
      <w:bookmarkEnd w:id="124"/>
      <w:r>
        <w:rPr>
          <w:rFonts w:hint="default" w:ascii="Times New Roman" w:hAnsi="Times New Roman" w:cs="Times New Roman"/>
          <w:highlight w:val="none"/>
        </w:rPr>
        <w:t xml:space="preserve"> </w:t>
      </w:r>
    </w:p>
    <w:p w14:paraId="21B683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3.2.1 投标报价应包括国家规定的增值税税金，除投标人须知前附表另有规定外，增值税税金按一般计税方法计算。投标人应按第九章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的要求在投标函中进行报价并填写工程量清单相应表格。</w:t>
      </w:r>
    </w:p>
    <w:p w14:paraId="5AF19E6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招标采用工程量固化清单，招标人在发布招标文件的同时将工程量固化清单电子文件上传至投标人须知前附表载明的网站供投标人自行下载。投标人填写工程量清单中各子目的单价或总额价，即可完成投标工程量清单的编制，确定投标报价，并生成电子版工程量清单，编入投标文件。投标人未在工程量清单中填入单价或总额价的工程子目，将被认为其已包含在工程量清单其他子目的单价和总额价中，招标人将不予支付。</w:t>
      </w:r>
    </w:p>
    <w:p w14:paraId="5A3AF9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严禁投标人修改</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电子文件中的数据、格式及运算定义。</w:t>
      </w:r>
    </w:p>
    <w:p w14:paraId="5923932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投标人根据招标人提供的工程量固化清单电子文件填报完成并生成的投标工程量清单中的投标报价和投标函大写金额报价应一致，如果报价金额出现差异，其投标将被否决。</w:t>
      </w:r>
    </w:p>
    <w:p w14:paraId="240E687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3.2.2 投标人应充分了解本项目的总体情况以及影响投标报价的其他要素。</w:t>
      </w:r>
    </w:p>
    <w:p w14:paraId="6E77DCC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3.2.3 本项目的报价方式见投标人须知前附表。投标人在投标截止时间前修改投标函中的投标总报价，应同时修改投标文件</w:t>
      </w:r>
      <w:r>
        <w:rPr>
          <w:rFonts w:hint="eastAsia" w:ascii="宋体" w:hAnsi="宋体" w:eastAsia="宋体" w:cs="宋体"/>
          <w:sz w:val="24"/>
          <w:highlight w:val="none"/>
        </w:rPr>
        <w:t>“</w:t>
      </w:r>
      <w:r>
        <w:rPr>
          <w:rFonts w:hint="default" w:ascii="Times New Roman" w:hAnsi="Times New Roman" w:eastAsia="宋体" w:cs="Times New Roman"/>
          <w:sz w:val="24"/>
          <w:highlight w:val="none"/>
        </w:rPr>
        <w:t>已标价工程量清单</w:t>
      </w:r>
      <w:r>
        <w:rPr>
          <w:rFonts w:hint="eastAsia" w:ascii="宋体" w:hAnsi="宋体" w:eastAsia="宋体" w:cs="宋体"/>
          <w:sz w:val="24"/>
          <w:highlight w:val="none"/>
        </w:rPr>
        <w:t>”</w:t>
      </w:r>
      <w:r>
        <w:rPr>
          <w:rFonts w:hint="default" w:ascii="Times New Roman" w:hAnsi="Times New Roman" w:eastAsia="宋体" w:cs="Times New Roman"/>
          <w:sz w:val="24"/>
          <w:highlight w:val="none"/>
        </w:rPr>
        <w:t>中的相应报价。此修改须符合本章第4.3款的有关要求。</w:t>
      </w:r>
    </w:p>
    <w:p w14:paraId="503327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3.2.4 投标人如果发现工程量清单中的数量与图纸中数量不一致时，应立即通知招标人核查，除非招标人在指定媒介上以书面方式予以更正，否则，应以工程量清单中列出的数量为准。</w:t>
      </w:r>
    </w:p>
    <w:p w14:paraId="1BB3BA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6EF5A15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3.2.6 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0DA41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3.2.7 招标人设有最高投标限价的，投标人的投标报价不得超过最高投标限价，最高投标限价在投标人须知前附表中载明。</w:t>
      </w:r>
    </w:p>
    <w:p w14:paraId="3B23DA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3.2.8 投标报价的其他要求见投标人须知前附表。</w:t>
      </w:r>
    </w:p>
    <w:p w14:paraId="6E713FAC">
      <w:pPr>
        <w:pStyle w:val="2"/>
        <w:pageBreakBefore w:val="0"/>
        <w:kinsoku/>
        <w:wordWrap w:val="0"/>
        <w:bidi w:val="0"/>
        <w:rPr>
          <w:rFonts w:hint="default" w:ascii="Times New Roman" w:hAnsi="Times New Roman" w:cs="Times New Roman"/>
          <w:highlight w:val="none"/>
        </w:rPr>
      </w:pPr>
      <w:bookmarkStart w:id="125" w:name="_Toc31161"/>
      <w:bookmarkStart w:id="126" w:name="_Toc23555"/>
      <w:bookmarkStart w:id="127" w:name="_Toc234832891"/>
      <w:r>
        <w:rPr>
          <w:rFonts w:hint="default" w:ascii="Times New Roman" w:hAnsi="Times New Roman" w:cs="Times New Roman"/>
          <w:highlight w:val="none"/>
        </w:rPr>
        <w:t>3.3</w:t>
      </w:r>
      <w:r>
        <w:rPr>
          <w:rFonts w:hint="default" w:ascii="Times New Roman" w:hAnsi="Times New Roman" w:cs="Times New Roman"/>
          <w:highlight w:val="none"/>
        </w:rPr>
        <w:tab/>
      </w:r>
      <w:r>
        <w:rPr>
          <w:rFonts w:hint="default" w:ascii="Times New Roman" w:hAnsi="Times New Roman" w:cs="Times New Roman"/>
          <w:highlight w:val="none"/>
        </w:rPr>
        <w:t>投标有效期</w:t>
      </w:r>
      <w:bookmarkEnd w:id="125"/>
      <w:bookmarkEnd w:id="126"/>
      <w:bookmarkEnd w:id="127"/>
    </w:p>
    <w:p w14:paraId="6F5010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除投标人须知前附表另有规定外，投标有效期为90日。</w:t>
      </w:r>
    </w:p>
    <w:p w14:paraId="02074D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 在投标有效期内，投标人撤销投标文件的，应承担招标文件和法律规定的责任。</w:t>
      </w:r>
    </w:p>
    <w:p w14:paraId="19B01F2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出现特殊情况需要延长投标有效期的，招标人通过电子交易平台通知所有投标人延长投标有效期。投标人同意延长的， 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0358F9E">
      <w:pPr>
        <w:pStyle w:val="2"/>
        <w:pageBreakBefore w:val="0"/>
        <w:kinsoku/>
        <w:wordWrap w:val="0"/>
        <w:bidi w:val="0"/>
        <w:rPr>
          <w:rFonts w:hint="default" w:ascii="Times New Roman" w:hAnsi="Times New Roman" w:cs="Times New Roman"/>
          <w:highlight w:val="none"/>
        </w:rPr>
      </w:pPr>
      <w:bookmarkStart w:id="128" w:name="_Toc234832892"/>
      <w:bookmarkStart w:id="129" w:name="_Toc30197"/>
      <w:bookmarkStart w:id="130" w:name="_Toc14943"/>
      <w:r>
        <w:rPr>
          <w:rFonts w:hint="default" w:ascii="Times New Roman" w:hAnsi="Times New Roman" w:cs="Times New Roman"/>
          <w:highlight w:val="none"/>
        </w:rPr>
        <w:t>3.4</w:t>
      </w:r>
      <w:r>
        <w:rPr>
          <w:rFonts w:hint="default" w:ascii="Times New Roman" w:hAnsi="Times New Roman" w:cs="Times New Roman"/>
          <w:highlight w:val="none"/>
        </w:rPr>
        <w:tab/>
      </w:r>
      <w:r>
        <w:rPr>
          <w:rFonts w:hint="default" w:ascii="Times New Roman" w:hAnsi="Times New Roman" w:cs="Times New Roman"/>
          <w:highlight w:val="none"/>
        </w:rPr>
        <w:t xml:space="preserve"> 投标保证金</w:t>
      </w:r>
      <w:bookmarkEnd w:id="128"/>
      <w:bookmarkEnd w:id="129"/>
      <w:bookmarkEnd w:id="130"/>
    </w:p>
    <w:p w14:paraId="3B7026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投标人在递交投标文件的同时，应按投标人须知前附表规定的金额</w:t>
      </w:r>
      <w:r>
        <w:rPr>
          <w:rFonts w:hint="default" w:ascii="Times New Roman" w:hAnsi="Times New Roman" w:eastAsia="宋体" w:cs="Times New Roman"/>
          <w:sz w:val="24"/>
          <w:highlight w:val="none"/>
          <w:vertAlign w:val="superscript"/>
        </w:rPr>
        <w:footnoteReference w:id="19"/>
      </w:r>
      <w:r>
        <w:rPr>
          <w:rFonts w:hint="default" w:ascii="Times New Roman" w:hAnsi="Times New Roman" w:eastAsia="宋体" w:cs="Times New Roman"/>
          <w:sz w:val="24"/>
          <w:highlight w:val="none"/>
        </w:rPr>
        <w:t>和第九章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规定的投标保证金格式递交投标保证金，并作为其投标文件的组成部分。联合体投标的，其投标保证金由牵头人递交，并应符合投标人须知前附表的规定。</w:t>
      </w:r>
    </w:p>
    <w:p w14:paraId="34CF839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投标保证金应采用现金、支票、银行保函或招标人在投标人须知前附表规定的其他形式。</w:t>
      </w:r>
    </w:p>
    <w:p w14:paraId="3C985C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64C5DC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（2）若采用银行保函，则应由符合投标人须知前附表规定级别的银行开具，并采用招标文件提供的格式。银行保函</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装订在投标文件内。</w:t>
      </w:r>
    </w:p>
    <w:p w14:paraId="4F904B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无论采取何种形式的投标保证金，投标保证金有效期均应与投标有效期一致。招标人如果按本章第3.3.3项的规定延长了投标有效期，则投标保证金的有效期也相应延长。</w:t>
      </w:r>
    </w:p>
    <w:p w14:paraId="15E26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投标人不按本章第3.4.1项要求提交投标保证金的，评标委员会将否决其投标。</w:t>
      </w:r>
    </w:p>
    <w:p w14:paraId="376D398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7D38796D">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利息计算原则见投标人须知前附表。</w:t>
      </w:r>
    </w:p>
    <w:p w14:paraId="54A931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3.4.4 有下列情形之一的，投标保证金将不予退还：</w:t>
      </w:r>
    </w:p>
    <w:p w14:paraId="4B9C160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（1）投标人在投标有效期内撤销投标文件；</w:t>
      </w:r>
    </w:p>
    <w:p w14:paraId="3659836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（2）中标人在收到中标通知书后，无正当理由不与招标人订立合同，在签订合同时向招标人提出附加条件，或不按照招标文件要求提交履约保证金；</w:t>
      </w:r>
    </w:p>
    <w:p w14:paraId="6DFF26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（3）发生投标人须知前附表规定的其他可以不予退还投标保证金的情形。</w:t>
      </w:r>
    </w:p>
    <w:p w14:paraId="23B4A71B">
      <w:pPr>
        <w:pStyle w:val="2"/>
        <w:pageBreakBefore w:val="0"/>
        <w:kinsoku/>
        <w:wordWrap w:val="0"/>
        <w:bidi w:val="0"/>
        <w:rPr>
          <w:rFonts w:hint="default" w:ascii="Times New Roman" w:hAnsi="Times New Roman" w:cs="Times New Roman"/>
          <w:highlight w:val="none"/>
        </w:rPr>
      </w:pPr>
      <w:bookmarkStart w:id="131" w:name="_Toc19802"/>
      <w:bookmarkStart w:id="132" w:name="_Toc11828"/>
      <w:bookmarkStart w:id="133" w:name="_Toc234832894"/>
      <w:r>
        <w:rPr>
          <w:rFonts w:hint="default" w:ascii="Times New Roman" w:hAnsi="Times New Roman" w:cs="Times New Roman"/>
          <w:highlight w:val="none"/>
        </w:rPr>
        <w:t>3.5</w:t>
      </w:r>
      <w:r>
        <w:rPr>
          <w:rFonts w:hint="default" w:ascii="Times New Roman" w:hAnsi="Times New Roman" w:cs="Times New Roman"/>
          <w:highlight w:val="none"/>
        </w:rPr>
        <w:tab/>
      </w:r>
      <w:r>
        <w:rPr>
          <w:rFonts w:hint="default" w:ascii="Times New Roman" w:hAnsi="Times New Roman" w:cs="Times New Roman"/>
          <w:highlight w:val="none"/>
        </w:rPr>
        <w:t xml:space="preserve"> 资格审查资料</w:t>
      </w:r>
      <w:bookmarkEnd w:id="131"/>
      <w:bookmarkEnd w:id="132"/>
      <w:bookmarkEnd w:id="133"/>
    </w:p>
    <w:p w14:paraId="3826867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除投标人须知前附表另有规定外，投标人应按下列规定提供资格审查资料，以证明其满足本章第1.4款规定的资质、财务、业绩、信誉等要求。</w:t>
      </w:r>
    </w:p>
    <w:p w14:paraId="71B1C8B9">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会员诚信库中选择并进行超链接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highlight w:val="none"/>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278254D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3.5.1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投标人基本情况表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应附企业法人营业执照、施工资质证书、安全生产许可证、基本账户开户许可证</w:t>
      </w:r>
      <w:r>
        <w:rPr>
          <w:rFonts w:hint="default" w:ascii="Times New Roman" w:hAnsi="Times New Roman" w:cs="Times New Roman"/>
          <w:color w:val="000000"/>
          <w:sz w:val="24"/>
          <w:szCs w:val="24"/>
          <w:highlight w:val="none"/>
          <w:lang w:val="en-US" w:eastAsia="zh-CN"/>
        </w:rPr>
        <w:t>或基本存款账户开户信息单</w:t>
      </w:r>
      <w:r>
        <w:rPr>
          <w:rFonts w:hint="default" w:ascii="Times New Roman" w:hAnsi="Times New Roman" w:eastAsia="宋体" w:cs="Times New Roman"/>
          <w:sz w:val="24"/>
          <w:highlight w:val="none"/>
        </w:rPr>
        <w:t>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，投标人在交通运输部</w:t>
      </w:r>
      <w:r>
        <w:rPr>
          <w:rFonts w:hint="eastAsia" w:ascii="宋体" w:hAnsi="宋体" w:eastAsia="宋体" w:cs="宋体"/>
          <w:sz w:val="24"/>
          <w:highlight w:val="none"/>
        </w:rPr>
        <w:t>“</w:t>
      </w:r>
      <w:r>
        <w:rPr>
          <w:rFonts w:hint="eastAsia" w:cs="Times New Roman"/>
          <w:sz w:val="24"/>
          <w:highlight w:val="none"/>
          <w:lang w:eastAsia="zh-CN"/>
        </w:rPr>
        <w:t>全国公路建设市场监督管理系统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公路工程施工资质企业名录中的网页截图，以及投标人在国家企业信用信息公示系统中基础信息（体现股东及出资详细信息）的网页截图。</w:t>
      </w:r>
    </w:p>
    <w:p w14:paraId="0E66392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企业法人营业执照、施工资质证书、安全生产许可证、基本账户开户许可证或基本存款账户信息的“原件扫描件 ”应提供全本（证书封面、封底、空白页除外） ，应包括投标人名称、投标人其他相关信息、颁发机构名称、投标人信息变更情况等关键页在内。</w:t>
      </w:r>
    </w:p>
    <w:p w14:paraId="6A57842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3.5.2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财务状况表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应附经会计师事务所或审计机构审计的财务会计报表，包括资产负债表、现金流量表、利润表和财务情况说明书的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，具体年份要求见投标人须知前附表。投标人的成立时间少于投标人须知前附表规定年份的，应提供成立以来的财务状况表。</w:t>
      </w:r>
    </w:p>
    <w:p w14:paraId="399A2D2F">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3.5.3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近年完成的类似项目</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具体时间要求见投标人须知前附表。</w:t>
      </w:r>
    </w:p>
    <w:p w14:paraId="4401DF26">
      <w:pPr>
        <w:pageBreakBefore w:val="0"/>
        <w:kinsoku/>
        <w:wordWrap w:val="0"/>
        <w:topLinePunct/>
        <w:bidi w:val="0"/>
        <w:spacing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投标人应在“辽宁省公共资源交易一张网电子化平台 ”主体信息库中选择并进行超链接。</w:t>
      </w:r>
    </w:p>
    <w:p w14:paraId="0EC9806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w:t>
      </w:r>
      <w:r>
        <w:rPr>
          <w:rFonts w:hint="eastAsia" w:cs="Times New Roman"/>
          <w:sz w:val="24"/>
          <w:highlight w:val="none"/>
          <w:lang w:val="en-US" w:eastAsia="zh-CN"/>
        </w:rPr>
        <w:t>4</w:t>
      </w:r>
      <w:r>
        <w:rPr>
          <w:rFonts w:hint="default" w:ascii="Times New Roman" w:hAnsi="Times New Roman" w:eastAsia="宋体" w:cs="Times New Roman"/>
          <w:sz w:val="24"/>
          <w:highlight w:val="none"/>
        </w:rPr>
        <w:t xml:space="preserve"> 投标人的信誉情况表 ”应附投标人在国家企业信用信息公示系统中未被列入严重违法失信企业名单、在“信用中国 ”（或中国执行信息公开网）网站中未被列入失信被执行人名单</w:t>
      </w:r>
      <w:r>
        <w:rPr>
          <w:rFonts w:hint="default" w:ascii="Times New Roman" w:hAnsi="Times New Roman" w:eastAsia="宋体" w:cs="Times New Roman"/>
          <w:sz w:val="24"/>
          <w:highlight w:val="none"/>
        </w:rPr>
        <w:t>的网页截图，以及近三年内（以投标截止日期为截止日、往前推算 3 个年度）投标人单位、个人（指法定代表人、拟投入的项目经理） 均无行贿犯罪行为的书面承诺“原件扫描件”（格式详见招标文件第九章）。</w:t>
      </w:r>
    </w:p>
    <w:p w14:paraId="4CC2FF47">
      <w:pPr>
        <w:pageBreakBefore w:val="0"/>
        <w:kinsoku/>
        <w:wordWrap w:val="0"/>
        <w:bidi w:val="0"/>
        <w:spacing w:line="400" w:lineRule="atLeast"/>
        <w:ind w:firstLine="482" w:firstLineChars="200"/>
        <w:rPr>
          <w:rFonts w:hint="eastAsia" w:ascii="Times New Roman" w:hAnsi="Times New Roman" w:eastAsia="宋体" w:cs="Times New Roman"/>
          <w:b/>
          <w:bCs/>
          <w:strike w:val="0"/>
          <w:dstrike w:val="0"/>
          <w:color w:val="auto"/>
          <w:sz w:val="24"/>
          <w:highlight w:val="none"/>
          <w:lang w:eastAsia="zh-CN"/>
        </w:rPr>
      </w:pPr>
      <w:r>
        <w:rPr>
          <w:rFonts w:hint="default" w:ascii="Times New Roman" w:hAnsi="Times New Roman" w:eastAsia="宋体" w:cs="Times New Roman"/>
          <w:b/>
          <w:bCs/>
          <w:strike w:val="0"/>
          <w:dstrike w:val="0"/>
          <w:color w:val="auto"/>
          <w:sz w:val="24"/>
          <w:highlight w:val="none"/>
        </w:rPr>
        <w:t>3.5.5 “拟委任的项目经理和项目总工资历表 ”应附项目经理和项目总工的身份证、职称资格证书以及资格审查条件所要求的其他相关证书（如建造师注册证书、安全生产考核合格证书等）的原件扫描件，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原件扫描件</w:t>
      </w:r>
      <w:r>
        <w:rPr>
          <w:rFonts w:hint="eastAsia" w:cs="Times New Roman"/>
          <w:b/>
          <w:bCs/>
          <w:strike w:val="0"/>
          <w:dstrike w:val="0"/>
          <w:color w:val="auto"/>
          <w:sz w:val="24"/>
          <w:highlight w:val="none"/>
          <w:lang w:eastAsia="zh-CN"/>
        </w:rPr>
        <w:t>。</w:t>
      </w:r>
    </w:p>
    <w:p w14:paraId="783A24FD">
      <w:pPr>
        <w:pageBreakBefore w:val="0"/>
        <w:kinsoku/>
        <w:wordWrap w:val="0"/>
        <w:topLinePunct/>
        <w:bidi w:val="0"/>
        <w:spacing w:line="400" w:lineRule="atLeast"/>
        <w:ind w:firstLine="468" w:firstLineChars="200"/>
        <w:rPr>
          <w:rFonts w:hint="default" w:ascii="Times New Roman" w:hAnsi="Times New Roman" w:eastAsia="宋体" w:cs="Times New Roman"/>
          <w:sz w:val="24"/>
          <w:highlight w:val="none"/>
        </w:rPr>
      </w:pPr>
      <w:r>
        <w:rPr>
          <w:rFonts w:ascii="宋体" w:hAnsi="宋体" w:eastAsia="宋体" w:cs="宋体"/>
          <w:spacing w:val="-3"/>
          <w:sz w:val="24"/>
          <w:szCs w:val="24"/>
          <w:highlight w:val="none"/>
        </w:rPr>
        <w:t>如项目经理或项目总工目前仍在其他项目上任职，则投标人应提供承诺上述</w:t>
      </w:r>
      <w:r>
        <w:rPr>
          <w:rFonts w:ascii="宋体" w:hAnsi="宋体" w:eastAsia="宋体" w:cs="宋体"/>
          <w:spacing w:val="-4"/>
          <w:sz w:val="24"/>
          <w:szCs w:val="24"/>
          <w:highlight w:val="none"/>
        </w:rPr>
        <w:t>人员能够从该项目撤离的书面承诺</w:t>
      </w:r>
      <w:r>
        <w:rPr>
          <w:rFonts w:hint="eastAsia" w:ascii="宋体" w:hAnsi="宋体" w:eastAsia="宋体" w:cs="宋体"/>
          <w:sz w:val="24"/>
          <w:highlight w:val="none"/>
        </w:rPr>
        <w:t>。</w:t>
      </w:r>
    </w:p>
    <w:p w14:paraId="22E7B1E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3.5.6 “拟委任的其他管理和技术人员汇总表 ”（如有）应填报满足投标人须知</w:t>
      </w:r>
    </w:p>
    <w:p w14:paraId="1DBA1E42">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前附表附录 6 规定的其他人员的相关信息。“拟委任的</w:t>
      </w:r>
      <w:r>
        <w:rPr>
          <w:rFonts w:hint="default" w:ascii="Times New Roman" w:hAnsi="Times New Roman" w:eastAsia="宋体" w:cs="Times New Roman"/>
          <w:sz w:val="24"/>
          <w:highlight w:val="none"/>
        </w:rPr>
        <w:t>其他管理和技术人员资历表 ” （如有）中相关人员应附身份证、职称资格证书以及资格审查条件所要求的其他相关证书的原件扫描件，相关业绩证明材料原件扫描件，以及投标人所属社保机构出具的社保缴费证明或其他能够证明其参加社保的有效证明材料原件扫描件。</w:t>
      </w:r>
    </w:p>
    <w:p w14:paraId="7BBF582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3.5.7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拟投入本标段的主要施工机械表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拟配备本标段的主要材料试验、测量、质检仪器设备表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（如有）应填报满足投标人须知前附表附录7规定的机械设备和试验检测设备。</w:t>
      </w:r>
    </w:p>
    <w:p w14:paraId="6670A3D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3.5.8 投标人须知前附表规定接受联合体投标的，本章第3.5.1项至第3.5.7项规定的表格和资料应包括联合体各方相关情况。</w:t>
      </w:r>
    </w:p>
    <w:p w14:paraId="6FEA786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3.5.9 除合同条款约定的特殊情形外，投标人在投标文件中填报的项目经理和项目总工不允许更换。</w:t>
      </w:r>
    </w:p>
    <w:p w14:paraId="57C58065">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3.5.10 投标人应根据本单位实际情况及时完成相关信息的申报、录入和动态更新，并对相关信息的真实性、完整性和准确性负责。</w:t>
      </w:r>
    </w:p>
    <w:p w14:paraId="63D7931A">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40DEE552">
      <w:pPr>
        <w:pStyle w:val="2"/>
        <w:pageBreakBefore w:val="0"/>
        <w:kinsoku/>
        <w:wordWrap w:val="0"/>
        <w:bidi w:val="0"/>
        <w:rPr>
          <w:rFonts w:hint="default" w:ascii="Times New Roman" w:hAnsi="Times New Roman" w:cs="Times New Roman"/>
          <w:highlight w:val="none"/>
        </w:rPr>
      </w:pPr>
      <w:bookmarkStart w:id="134" w:name="_Toc8548"/>
      <w:bookmarkStart w:id="135" w:name="_Toc28562"/>
      <w:bookmarkStart w:id="136" w:name="_Toc234832895"/>
      <w:r>
        <w:rPr>
          <w:rFonts w:hint="default" w:ascii="Times New Roman" w:hAnsi="Times New Roman" w:cs="Times New Roman"/>
          <w:highlight w:val="none"/>
        </w:rPr>
        <w:t>3.6 备选投标方案</w:t>
      </w:r>
      <w:bookmarkEnd w:id="134"/>
      <w:bookmarkEnd w:id="135"/>
      <w:bookmarkEnd w:id="136"/>
    </w:p>
    <w:p w14:paraId="6328A1B6">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除投标人须知前附表规定允许外，投标人不得递交备选投标方案，否则其投标将被否决。</w:t>
      </w:r>
    </w:p>
    <w:p w14:paraId="32A83FB7">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C97BAFD">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投标人提供两个或两个以上投标报价，或在投标文件中提供一个报价，但同时提供两个或两个以上</w:t>
      </w:r>
      <w:bookmarkStart w:id="137" w:name="_Toc144974518"/>
      <w:bookmarkStart w:id="138" w:name="_Toc300834971"/>
      <w:bookmarkStart w:id="139" w:name="_Toc152045550"/>
      <w:bookmarkStart w:id="140" w:name="_Toc29902"/>
      <w:bookmarkStart w:id="141" w:name="_Toc369531538"/>
      <w:bookmarkStart w:id="142" w:name="_Toc247527575"/>
      <w:bookmarkStart w:id="143" w:name="_Toc384308232"/>
      <w:bookmarkStart w:id="144" w:name="_Toc361508607"/>
      <w:bookmarkStart w:id="145" w:name="_Toc152042326"/>
      <w:bookmarkStart w:id="146" w:name="_Toc247513974"/>
      <w:bookmarkStart w:id="147" w:name="_Toc352691495"/>
      <w:r>
        <w:rPr>
          <w:rFonts w:hint="default" w:ascii="Times New Roman" w:hAnsi="Times New Roman" w:eastAsia="宋体" w:cs="Times New Roman"/>
          <w:sz w:val="24"/>
          <w:highlight w:val="none"/>
        </w:rPr>
        <w:t>施工组织设计的</w:t>
      </w:r>
      <w:bookmarkEnd w:id="137"/>
      <w:bookmarkEnd w:id="138"/>
      <w:bookmarkEnd w:id="139"/>
      <w:bookmarkEnd w:id="140"/>
      <w:bookmarkEnd w:id="141"/>
      <w:bookmarkEnd w:id="142"/>
      <w:bookmarkEnd w:id="143"/>
      <w:bookmarkEnd w:id="144"/>
      <w:bookmarkEnd w:id="145"/>
      <w:bookmarkEnd w:id="146"/>
      <w:bookmarkEnd w:id="147"/>
      <w:r>
        <w:rPr>
          <w:rFonts w:hint="default" w:ascii="Times New Roman" w:hAnsi="Times New Roman" w:eastAsia="宋体" w:cs="Times New Roman"/>
          <w:sz w:val="24"/>
          <w:highlight w:val="none"/>
        </w:rPr>
        <w:t>，视为提供备选方案。</w:t>
      </w:r>
    </w:p>
    <w:p w14:paraId="31542696">
      <w:pPr>
        <w:pStyle w:val="2"/>
        <w:pageBreakBefore w:val="0"/>
        <w:kinsoku/>
        <w:wordWrap w:val="0"/>
        <w:bidi w:val="0"/>
        <w:rPr>
          <w:rFonts w:hint="default" w:ascii="Times New Roman" w:hAnsi="Times New Roman" w:cs="Times New Roman"/>
          <w:highlight w:val="none"/>
        </w:rPr>
      </w:pPr>
      <w:bookmarkStart w:id="148" w:name="_Toc234832896"/>
      <w:bookmarkStart w:id="149" w:name="_Toc10660"/>
      <w:bookmarkStart w:id="150" w:name="_Toc10617"/>
      <w:r>
        <w:rPr>
          <w:rFonts w:hint="default" w:ascii="Times New Roman" w:hAnsi="Times New Roman" w:cs="Times New Roman"/>
          <w:highlight w:val="none"/>
        </w:rPr>
        <w:t>3.7 投标文件的编制</w:t>
      </w:r>
      <w:bookmarkEnd w:id="148"/>
      <w:bookmarkEnd w:id="149"/>
      <w:bookmarkEnd w:id="150"/>
    </w:p>
    <w:p w14:paraId="342C62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3.7.1 投标文件应按第九章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进行编写，如有必要，可以增加附页，作为投标文件的组成部分。其中，投标函附录在满足招标文件实质性要求的基础上，可以提出比招标文件要求更有利于招标人的承诺。</w:t>
      </w:r>
    </w:p>
    <w:p w14:paraId="1F1FBD4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3.7.2 投标文件应对招标文件有关工期、投标有效期、质量要求、安全目标、技术标准和要求、招标范围等实质性内容作出响应。</w:t>
      </w:r>
    </w:p>
    <w:p w14:paraId="6479112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3.7.3 投标文件的制作应满足以下规定：</w:t>
      </w:r>
    </w:p>
    <w:p w14:paraId="0CD4C5C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（1）投标文件由投标人使用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自带的</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制作生成。</w:t>
      </w:r>
    </w:p>
    <w:p w14:paraId="333E5E2B">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（2）投标人在编制投标文件时应建立分级目录，并按照标签提示导入相关内容。</w:t>
      </w:r>
    </w:p>
    <w:p w14:paraId="76E5550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（3）投标文件中证明资料的“原件扫描件 ”，应从“ 电子交易平台 ”主体信息库中选择并进行超链接，未标示“原件扫描件”的证明资料均应直接制作生成。</w:t>
      </w:r>
    </w:p>
    <w:p w14:paraId="0A8879E7">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（4）投标文件中的已标价报价清单数据文件应与招标人提供的报价清单数据文件格式一致。</w:t>
      </w:r>
    </w:p>
    <w:p w14:paraId="35588EE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（5）第九章“投标文件格式 ”中要求盖单位章和（或）签字的地方，投标人均应使用 CA  数字证书加盖投标人的单位电子印章和（或）法定代表人或其委托代理人的个人电子印章或电子签名。联合体投标的， 投标文件由联合体牵头人按上述规定加盖联合体牵头人单位电子印章和（或）法定代表人或其委托代理人的个人电子印章或电子签名。</w:t>
      </w:r>
    </w:p>
    <w:p w14:paraId="16A2649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（6）投标文件制作完成后，投标人应使用CA 数字证书对投标文件进行文件加密，形成加密的投标文件。</w:t>
      </w:r>
    </w:p>
    <w:p w14:paraId="24401DF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（7）投标文件制作的具体方法详见</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中的</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lang w:eastAsia="zh-CN"/>
        </w:rPr>
        <w:t>操作指南</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rPr>
        <w:t>。</w:t>
      </w:r>
    </w:p>
    <w:p w14:paraId="33D51114">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rPr>
        <w:t>3.7.4 因投标人自身原因而导致投标文件无法导入</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电子开标、评标系统，该投标视为无效投标，投标人自行承担由此导致的全部责任</w:t>
      </w:r>
      <w:r>
        <w:rPr>
          <w:rFonts w:hint="default" w:ascii="Times New Roman" w:hAnsi="Times New Roman" w:cs="Times New Roman"/>
          <w:color w:val="000000"/>
          <w:sz w:val="24"/>
          <w:szCs w:val="24"/>
          <w:highlight w:val="none"/>
          <w:lang w:eastAsia="zh-CN"/>
        </w:rPr>
        <w:t>。</w:t>
      </w:r>
    </w:p>
    <w:p w14:paraId="6298F2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3.7.5 投标文件份数及其他要求：见投标人须知前附表。</w:t>
      </w:r>
    </w:p>
    <w:p w14:paraId="73FB8CB8">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cs="Times New Roman"/>
          <w:color w:val="000000"/>
          <w:sz w:val="24"/>
          <w:szCs w:val="24"/>
          <w:highlight w:val="none"/>
        </w:rPr>
        <w:t>3.7.</w:t>
      </w:r>
      <w:r>
        <w:rPr>
          <w:rFonts w:hint="default" w:ascii="Times New Roman" w:hAnsi="Times New Roman" w:cs="Times New Roman"/>
          <w:color w:val="000000"/>
          <w:sz w:val="24"/>
          <w:szCs w:val="24"/>
          <w:highlight w:val="none"/>
          <w:lang w:val="en-US" w:eastAsia="zh-CN"/>
        </w:rPr>
        <w:t xml:space="preserve">6 </w:t>
      </w:r>
      <w:r>
        <w:rPr>
          <w:rFonts w:hint="default" w:ascii="Times New Roman" w:hAnsi="Times New Roman" w:cs="Times New Roman"/>
          <w:color w:val="000000"/>
          <w:sz w:val="24"/>
          <w:szCs w:val="24"/>
          <w:highlight w:val="none"/>
        </w:rPr>
        <w:t>投标文件上传的要求</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见投标人须知前附表。</w:t>
      </w:r>
    </w:p>
    <w:p w14:paraId="69CA473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51" w:name="_Toc17066"/>
      <w:bookmarkStart w:id="152" w:name="_Toc234832897"/>
      <w:bookmarkStart w:id="153" w:name="_Toc3071"/>
      <w:r>
        <w:rPr>
          <w:rFonts w:hint="default" w:ascii="Times New Roman" w:hAnsi="Times New Roman" w:eastAsia="黑体" w:cs="Times New Roman"/>
          <w:b w:val="0"/>
          <w:sz w:val="28"/>
          <w:szCs w:val="28"/>
          <w:highlight w:val="none"/>
        </w:rPr>
        <w:t>4. 投标</w:t>
      </w:r>
      <w:bookmarkEnd w:id="151"/>
      <w:bookmarkEnd w:id="152"/>
      <w:bookmarkEnd w:id="153"/>
      <w:r>
        <w:rPr>
          <w:rFonts w:hint="default" w:ascii="Times New Roman" w:hAnsi="Times New Roman" w:eastAsia="黑体" w:cs="Times New Roman"/>
          <w:b w:val="0"/>
          <w:sz w:val="28"/>
          <w:szCs w:val="28"/>
          <w:highlight w:val="none"/>
        </w:rPr>
        <w:tab/>
      </w:r>
    </w:p>
    <w:p w14:paraId="1E44D67C">
      <w:pPr>
        <w:pStyle w:val="2"/>
        <w:pageBreakBefore w:val="0"/>
        <w:kinsoku/>
        <w:wordWrap w:val="0"/>
        <w:bidi w:val="0"/>
        <w:rPr>
          <w:rFonts w:hint="default" w:ascii="Times New Roman" w:hAnsi="Times New Roman" w:cs="Times New Roman"/>
          <w:highlight w:val="none"/>
        </w:rPr>
      </w:pPr>
      <w:bookmarkStart w:id="154" w:name="_Toc21778"/>
      <w:bookmarkStart w:id="155" w:name="_Toc2664"/>
      <w:bookmarkStart w:id="156" w:name="_Toc26001"/>
      <w:r>
        <w:rPr>
          <w:rFonts w:hint="default" w:ascii="Times New Roman" w:hAnsi="Times New Roman" w:cs="Times New Roman"/>
          <w:highlight w:val="none"/>
        </w:rPr>
        <w:t>4.1 投标文件的密封和标记</w:t>
      </w:r>
      <w:bookmarkEnd w:id="154"/>
      <w:bookmarkEnd w:id="155"/>
      <w:bookmarkEnd w:id="156"/>
    </w:p>
    <w:p w14:paraId="2B3EAF0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投标文件应按照本章第3.7.3项要求制作并加密，未按要求加密的投标文件，招标人（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）将拒绝接收并提示。</w:t>
      </w:r>
    </w:p>
    <w:p w14:paraId="264B1B0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p>
    <w:p w14:paraId="76DA16B5">
      <w:pPr>
        <w:pStyle w:val="2"/>
        <w:pageBreakBefore w:val="0"/>
        <w:kinsoku/>
        <w:wordWrap w:val="0"/>
        <w:bidi w:val="0"/>
        <w:rPr>
          <w:rFonts w:hint="default" w:ascii="Times New Roman" w:hAnsi="Times New Roman" w:cs="Times New Roman"/>
          <w:highlight w:val="none"/>
        </w:rPr>
      </w:pPr>
      <w:bookmarkStart w:id="157" w:name="_Toc10211"/>
      <w:bookmarkStart w:id="158" w:name="_Toc26071"/>
      <w:bookmarkStart w:id="159" w:name="_Toc17687"/>
      <w:r>
        <w:rPr>
          <w:rFonts w:hint="default" w:ascii="Times New Roman" w:hAnsi="Times New Roman" w:cs="Times New Roman"/>
          <w:highlight w:val="none"/>
        </w:rPr>
        <w:t>4.2 投标文件的递交</w:t>
      </w:r>
      <w:bookmarkEnd w:id="157"/>
      <w:bookmarkEnd w:id="158"/>
      <w:bookmarkEnd w:id="159"/>
    </w:p>
    <w:p w14:paraId="497D144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4.2.1  投标人应在第一章“招标公告 ”规定的投标截止时间前，通过互联网使用 CA数字证书登录“电子交易平台 ”，将加密的投标文件上传。投标人应充分考虑上传文件时的不可预见因素，未在投标截止时间前完成上传的，视为逾期送达，招标人（“电子交易平台”）将拒绝接收。</w:t>
      </w:r>
    </w:p>
    <w:p w14:paraId="0BD75A2C">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4.2.2 根据本章第4.1款的规定，投标人递交的投标文件，只要出现应当拒收的情形，其投标文件予以拒收。</w:t>
      </w:r>
    </w:p>
    <w:p w14:paraId="74BF9CD1">
      <w:pPr>
        <w:pStyle w:val="2"/>
        <w:pageBreakBefore w:val="0"/>
        <w:kinsoku/>
        <w:wordWrap w:val="0"/>
        <w:bidi w:val="0"/>
        <w:rPr>
          <w:rFonts w:hint="default" w:ascii="Times New Roman" w:hAnsi="Times New Roman" w:cs="Times New Roman"/>
          <w:highlight w:val="none"/>
        </w:rPr>
      </w:pPr>
      <w:bookmarkStart w:id="160" w:name="_Toc31061"/>
      <w:bookmarkStart w:id="161" w:name="_Toc16651"/>
      <w:bookmarkStart w:id="162" w:name="_Toc31676"/>
      <w:r>
        <w:rPr>
          <w:rFonts w:hint="default" w:ascii="Times New Roman" w:hAnsi="Times New Roman" w:cs="Times New Roman"/>
          <w:highlight w:val="none"/>
        </w:rPr>
        <w:t>4.3 投标文件的修改与撤回</w:t>
      </w:r>
      <w:bookmarkEnd w:id="160"/>
      <w:bookmarkEnd w:id="161"/>
      <w:bookmarkEnd w:id="162"/>
    </w:p>
    <w:p w14:paraId="016101B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4.3.1 在本章第4.2.1项规定的投标截止时间前，投标人可以修改或撤回已递交的投标文件。投标人对加密的投标文件进行撤回的，应在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直接进行撤回操作；投标人对加密的投标文件进行修改的，应在投标截止时间前完成上传。</w:t>
      </w:r>
    </w:p>
    <w:p w14:paraId="288273E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4.3.2 投标人修改投标文件的，应使用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制作成完整的投标文件，并按照本章第3条、第4条规定进行编制、加密和递交。对采用网上递交的加密的投标文件，以投标截止时间前最后完成上传的文件为准。</w:t>
      </w:r>
    </w:p>
    <w:p w14:paraId="0FC7A0A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4.3.3 投标人撤回投标文件的，招标人自收到投标人书面撤回通知之日起5日内退还已收取的投标保证金。</w:t>
      </w:r>
    </w:p>
    <w:p w14:paraId="712B49A8">
      <w:pPr>
        <w:pStyle w:val="2"/>
        <w:pageBreakBefore w:val="0"/>
        <w:kinsoku/>
        <w:wordWrap w:val="0"/>
        <w:bidi w:val="0"/>
        <w:rPr>
          <w:rFonts w:hint="default" w:ascii="Times New Roman" w:hAnsi="Times New Roman" w:cs="Times New Roman"/>
          <w:highlight w:val="none"/>
        </w:rPr>
      </w:pPr>
      <w:bookmarkStart w:id="163" w:name="_Toc19047"/>
      <w:bookmarkStart w:id="164" w:name="_Toc29100"/>
      <w:bookmarkStart w:id="165" w:name="_Toc234832901"/>
      <w:r>
        <w:rPr>
          <w:rFonts w:hint="default" w:ascii="Times New Roman" w:hAnsi="Times New Roman" w:cs="Times New Roman"/>
          <w:highlight w:val="none"/>
        </w:rPr>
        <w:t>5. 开标</w:t>
      </w:r>
      <w:bookmarkEnd w:id="163"/>
      <w:bookmarkEnd w:id="164"/>
      <w:bookmarkEnd w:id="165"/>
    </w:p>
    <w:p w14:paraId="17188445">
      <w:pPr>
        <w:pStyle w:val="2"/>
        <w:pageBreakBefore w:val="0"/>
        <w:kinsoku/>
        <w:wordWrap w:val="0"/>
        <w:bidi w:val="0"/>
        <w:rPr>
          <w:rFonts w:hint="default" w:ascii="Times New Roman" w:hAnsi="Times New Roman" w:cs="Times New Roman"/>
          <w:highlight w:val="none"/>
        </w:rPr>
      </w:pPr>
      <w:bookmarkStart w:id="166" w:name="_Toc22056"/>
      <w:bookmarkStart w:id="167" w:name="_Toc12935"/>
      <w:bookmarkStart w:id="168" w:name="_Toc234832902"/>
      <w:r>
        <w:rPr>
          <w:rFonts w:hint="default" w:ascii="Times New Roman" w:hAnsi="Times New Roman" w:cs="Times New Roman"/>
          <w:highlight w:val="none"/>
        </w:rPr>
        <w:t>5.1 开标时间和地点</w:t>
      </w:r>
      <w:bookmarkEnd w:id="166"/>
      <w:bookmarkEnd w:id="167"/>
    </w:p>
    <w:p w14:paraId="374EE48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5.1.1 招标人在投标人须知前附表规定的投标截止时间（开标时间）和地点在“辽宁省公共资源交易中心不见面开标大厅 ”（以下简称“不见面开标大厅”）上公开进行第一个信封（商务及技术文件）开标，所有投标人均应当准时在线参加开标。</w:t>
      </w:r>
    </w:p>
    <w:p w14:paraId="7C3D3F1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招标人还将在投标人须知前附表规定的时间和地点对投标文件第二个信封（报价文件）在“</w:t>
      </w:r>
      <w:r>
        <w:rPr>
          <w:rFonts w:hint="eastAsia" w:cs="Times New Roman"/>
          <w:sz w:val="24"/>
          <w:highlight w:val="none"/>
          <w:lang w:eastAsia="zh-CN"/>
        </w:rPr>
        <w:t>电子交易平台</w:t>
      </w:r>
      <w:r>
        <w:rPr>
          <w:rFonts w:hint="default" w:ascii="Times New Roman" w:hAnsi="Times New Roman" w:eastAsia="宋体" w:cs="Times New Roman"/>
          <w:sz w:val="24"/>
          <w:highlight w:val="none"/>
        </w:rPr>
        <w:t>”进行公开开标，并邀请所有投标人代表准时参加。</w:t>
      </w:r>
    </w:p>
    <w:p w14:paraId="3974B3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投标人代表应按时参加第一个信封（商务及技术文件）及第二个信封（报价文件）线上开标会。</w:t>
      </w:r>
    </w:p>
    <w:p w14:paraId="4FBC9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5.1.2 投标人应当在能够保证设施设备可靠、互联网畅通的任意地点，通过互联网在线参加开标，并实时在线关注招标人的操作情况。</w:t>
      </w:r>
    </w:p>
    <w:p w14:paraId="6FC90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p>
    <w:bookmarkEnd w:id="168"/>
    <w:p w14:paraId="2DE81D90">
      <w:pPr>
        <w:pStyle w:val="2"/>
        <w:pageBreakBefore w:val="0"/>
        <w:kinsoku/>
        <w:wordWrap w:val="0"/>
        <w:bidi w:val="0"/>
        <w:rPr>
          <w:rFonts w:hint="default" w:ascii="Times New Roman" w:hAnsi="Times New Roman" w:cs="Times New Roman"/>
          <w:highlight w:val="none"/>
        </w:rPr>
      </w:pPr>
      <w:bookmarkStart w:id="169" w:name="_Toc17800"/>
      <w:bookmarkStart w:id="170" w:name="_Toc14835"/>
      <w:r>
        <w:rPr>
          <w:rFonts w:hint="default" w:ascii="Times New Roman" w:hAnsi="Times New Roman" w:cs="Times New Roman"/>
          <w:highlight w:val="none"/>
        </w:rPr>
        <w:t>5.2</w:t>
      </w:r>
      <w:r>
        <w:rPr>
          <w:rFonts w:hint="default" w:ascii="Times New Roman" w:hAnsi="Times New Roman" w:cs="Times New Roman"/>
          <w:highlight w:val="none"/>
        </w:rPr>
        <w:tab/>
      </w:r>
      <w:r>
        <w:rPr>
          <w:rFonts w:hint="default" w:ascii="Times New Roman" w:hAnsi="Times New Roman" w:cs="Times New Roman"/>
          <w:highlight w:val="none"/>
        </w:rPr>
        <w:t>开标程序</w:t>
      </w:r>
      <w:bookmarkEnd w:id="169"/>
      <w:bookmarkEnd w:id="170"/>
    </w:p>
    <w:p w14:paraId="583EB7D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5.2.1 主持人按下列程序对投标文件第一个信封（商务及技术文件）进行开标：</w:t>
      </w:r>
    </w:p>
    <w:p w14:paraId="2D9B033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2A01BDA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（2）公布在投标截止时间前递交</w:t>
      </w:r>
      <w:r>
        <w:rPr>
          <w:rFonts w:hint="default" w:ascii="Times New Roman" w:hAnsi="Times New Roman" w:cs="Times New Roman"/>
          <w:color w:val="000000"/>
          <w:sz w:val="24"/>
          <w:szCs w:val="24"/>
          <w:highlight w:val="none"/>
          <w:lang w:val="en-US" w:eastAsia="zh-CN"/>
        </w:rPr>
        <w:t>至</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电子交易平台</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rPr>
        <w:t>投标文件的投标人数量；</w:t>
      </w:r>
    </w:p>
    <w:p w14:paraId="7A4FEB1F">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（3）投标人代表通过互联网使用 CA 数字证书登录“不见面开标大厅 ”在投标人须知前附表规定的时间内解密加密的投标文件第一个信封（商务及技术文件）</w:t>
      </w:r>
      <w:r>
        <w:rPr>
          <w:rFonts w:hint="eastAsia" w:cs="Times New Roman"/>
          <w:color w:val="000000"/>
          <w:sz w:val="24"/>
          <w:szCs w:val="24"/>
          <w:highlight w:val="none"/>
          <w:lang w:eastAsia="zh-CN"/>
        </w:rPr>
        <w:t>；</w:t>
      </w:r>
    </w:p>
    <w:p w14:paraId="1A2C170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2238EF1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）导入并读取所有解密成功的投标文件第一个信封（商务及技术文件）的内容；</w:t>
      </w:r>
    </w:p>
    <w:p w14:paraId="65BCFE2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）公布标段名称、投标人名称的递交情况、工期及其他内容，并记录在案；</w:t>
      </w:r>
    </w:p>
    <w:p w14:paraId="256A63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9F71A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）开标结束</w:t>
      </w:r>
      <w:r>
        <w:rPr>
          <w:rFonts w:hint="default" w:ascii="Times New Roman" w:hAnsi="Times New Roman" w:eastAsia="宋体" w:cs="Times New Roman"/>
          <w:sz w:val="24"/>
          <w:highlight w:val="none"/>
        </w:rPr>
        <w:t>。</w:t>
      </w:r>
    </w:p>
    <w:p w14:paraId="3F42B2E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5.2.2 投标文件第二个信封（报价文件）在投标文件第一个信封（商务及技术文件）完成评审前，</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的开标评标系统将不进行读取。</w:t>
      </w:r>
    </w:p>
    <w:p w14:paraId="4FB79184">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5.2.3 招标人将按照本章第5.1款规定的时间和地点对投标文件第二个信封（报价文件）进行开标。主持人按下列程序进行开标：</w:t>
      </w:r>
    </w:p>
    <w:p w14:paraId="67D0D08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35E0000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（2）当众宣布通过投标文件第一个信封（商务及技术文件）评审的投标人名单；</w:t>
      </w:r>
    </w:p>
    <w:p w14:paraId="6C9A22E8">
      <w:pPr>
        <w:spacing w:before="274" w:line="220" w:lineRule="auto"/>
        <w:ind w:left="488"/>
        <w:rPr>
          <w:highlight w:val="none"/>
        </w:rPr>
      </w:pPr>
      <w:r>
        <w:rPr>
          <w:rFonts w:hint="default" w:ascii="Times New Roman" w:hAnsi="Times New Roman" w:cs="Times New Roman"/>
          <w:color w:val="000000"/>
          <w:sz w:val="24"/>
          <w:szCs w:val="24"/>
          <w:highlight w:val="none"/>
        </w:rPr>
        <w:t>（3）</w:t>
      </w:r>
      <w:r>
        <w:rPr>
          <w:rFonts w:ascii="宋体" w:hAnsi="宋体" w:eastAsia="宋体" w:cs="宋体"/>
          <w:sz w:val="24"/>
          <w:szCs w:val="24"/>
          <w:highlight w:val="none"/>
        </w:rPr>
        <w:t>对通过投标文件第一个信封（商务及技术文件）评审的投标人进行随机分</w:t>
      </w:r>
    </w:p>
    <w:p w14:paraId="6EB6508B">
      <w:pPr>
        <w:pageBreakBefore w:val="0"/>
        <w:kinsoku/>
        <w:wordWrap/>
        <w:bidi w:val="0"/>
        <w:spacing w:before="78" w:line="221" w:lineRule="auto"/>
        <w:ind w:left="9" w:firstLine="0" w:firstLineChars="0"/>
        <w:rPr>
          <w:rFonts w:hint="default" w:ascii="Times New Roman" w:hAnsi="Times New Roman" w:cs="Times New Roman"/>
          <w:color w:val="000000"/>
          <w:sz w:val="24"/>
          <w:szCs w:val="24"/>
          <w:highlight w:val="none"/>
        </w:rPr>
      </w:pPr>
      <w:r>
        <w:rPr>
          <w:rFonts w:ascii="宋体" w:hAnsi="宋体" w:eastAsia="宋体" w:cs="宋体"/>
          <w:spacing w:val="-3"/>
          <w:sz w:val="24"/>
          <w:szCs w:val="24"/>
          <w:highlight w:val="none"/>
        </w:rPr>
        <w:t>配投标标段</w:t>
      </w:r>
      <w:r>
        <w:rPr>
          <w:rFonts w:ascii="宋体" w:hAnsi="宋体" w:eastAsia="宋体" w:cs="宋体"/>
          <w:sz w:val="24"/>
          <w:szCs w:val="24"/>
          <w:highlight w:val="none"/>
        </w:rPr>
        <w:t>；（</w:t>
      </w:r>
      <w:r>
        <w:rPr>
          <w:rFonts w:ascii="宋体" w:hAnsi="宋体" w:eastAsia="宋体" w:cs="宋体"/>
          <w:spacing w:val="-3"/>
          <w:sz w:val="24"/>
          <w:szCs w:val="24"/>
          <w:highlight w:val="none"/>
        </w:rPr>
        <w:t>如有）</w:t>
      </w:r>
    </w:p>
    <w:p w14:paraId="793C539A">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（4）通过投标文件第一个信封（商务及技术文件）评审的投标人代表</w:t>
      </w:r>
      <w:r>
        <w:rPr>
          <w:rFonts w:hint="default" w:ascii="Times New Roman" w:hAnsi="Times New Roman" w:cs="Times New Roman"/>
          <w:sz w:val="24"/>
          <w:highlight w:val="none"/>
        </w:rPr>
        <w:t>通过互联网使用CA数字证书登录</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lang w:val="en-US" w:eastAsia="zh-CN"/>
        </w:rPr>
        <w:t>在投标人须知前附表规定的时间内</w:t>
      </w:r>
      <w:r>
        <w:rPr>
          <w:rFonts w:hint="default" w:ascii="Times New Roman" w:hAnsi="Times New Roman" w:cs="Times New Roman"/>
          <w:color w:val="000000"/>
          <w:sz w:val="24"/>
          <w:szCs w:val="24"/>
          <w:highlight w:val="none"/>
        </w:rPr>
        <w:t>解密加密的投标文件第二个信封（报价文件）；</w:t>
      </w:r>
    </w:p>
    <w:p w14:paraId="2480D55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1501CDD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）导入并读取所有通过投标文件第一个信封（商务及技术文件）评审的解密成功的投标文件第二个信封（报价文件）的内容；</w:t>
      </w:r>
    </w:p>
    <w:p w14:paraId="3D77C76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 xml:space="preserve">）公布标段名称、投标人名称、投标报价及其他内容，并记录在案； </w:t>
      </w:r>
    </w:p>
    <w:p w14:paraId="28A82D5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lang w:eastAsia="zh-CN"/>
        </w:rPr>
        <w:t>）</w:t>
      </w:r>
      <w:r>
        <w:rPr>
          <w:rFonts w:ascii="宋体" w:hAnsi="宋体" w:eastAsia="宋体" w:cs="宋体"/>
          <w:spacing w:val="-2"/>
          <w:sz w:val="24"/>
          <w:szCs w:val="24"/>
          <w:highlight w:val="none"/>
        </w:rPr>
        <w:t>随机抽取评标基准价计算方法、评标基准价系数</w:t>
      </w:r>
      <w:r>
        <w:rPr>
          <w:rFonts w:ascii="宋体" w:hAnsi="宋体" w:eastAsia="宋体" w:cs="宋体"/>
          <w:spacing w:val="4"/>
          <w:sz w:val="24"/>
          <w:szCs w:val="24"/>
          <w:highlight w:val="none"/>
        </w:rPr>
        <w:t>；（</w:t>
      </w:r>
      <w:r>
        <w:rPr>
          <w:rFonts w:ascii="宋体" w:hAnsi="宋体" w:eastAsia="宋体" w:cs="宋体"/>
          <w:spacing w:val="-2"/>
          <w:sz w:val="24"/>
          <w:szCs w:val="24"/>
          <w:highlight w:val="none"/>
        </w:rPr>
        <w:t>如有）</w:t>
      </w:r>
    </w:p>
    <w:p w14:paraId="285930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76A79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10</w:t>
      </w:r>
      <w:r>
        <w:rPr>
          <w:rFonts w:hint="default" w:ascii="Times New Roman" w:hAnsi="Times New Roman" w:cs="Times New Roman"/>
          <w:color w:val="000000"/>
          <w:sz w:val="24"/>
          <w:szCs w:val="24"/>
          <w:highlight w:val="none"/>
        </w:rPr>
        <w:t>）开标结束。</w:t>
      </w:r>
    </w:p>
    <w:p w14:paraId="33FF93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5.2.4 若采用合理低价法或综合评分法，在投标文件第二个信封（报价文件）开标现场，招标人将按第三章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规定的原则计算并宣布评标基准价。若招标人发现投标文件出现以下任一情况，其投标报价将不再参加评标基准价的计算：</w:t>
      </w:r>
    </w:p>
    <w:p w14:paraId="6A9173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（1）未按要求在投标函上填写投标总价；</w:t>
      </w:r>
    </w:p>
    <w:p w14:paraId="086C44F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（2）投标报价超出招标人公布的最高投标限价（如有），或低于招标人公布的最高投标限价（如有）的 G%；</w:t>
      </w:r>
    </w:p>
    <w:p w14:paraId="0356EF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（3）无法确定投标报价具体数值；</w:t>
      </w:r>
    </w:p>
    <w:p w14:paraId="7788D63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（4）投标函上填写的标段号与上传的对应项目标段号不一致（如分标段）。</w:t>
      </w:r>
    </w:p>
    <w:p w14:paraId="31E760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C3AC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5.2.5 在投标文件第一个信封（商务及技术文件）或第二个信封（报价文件）开标过程中，若</w:t>
      </w:r>
      <w:r>
        <w:rPr>
          <w:rFonts w:hint="default" w:ascii="Times New Roman" w:hAnsi="Times New Roman" w:cs="Times New Roman"/>
          <w:color w:val="000000"/>
          <w:sz w:val="24"/>
          <w:szCs w:val="24"/>
          <w:highlight w:val="none"/>
          <w:lang w:val="en-US" w:eastAsia="zh-CN"/>
        </w:rPr>
        <w:t>开标现场</w:t>
      </w:r>
      <w:r>
        <w:rPr>
          <w:rFonts w:hint="default" w:ascii="Times New Roman" w:hAnsi="Times New Roman" w:cs="Times New Roman"/>
          <w:color w:val="000000"/>
          <w:sz w:val="24"/>
          <w:szCs w:val="24"/>
          <w:highlight w:val="none"/>
        </w:rPr>
        <w:t>宣读的内容与投标文件不符，投标人有权在开标现场提出疑问，经招标人当场核查确认之后，可重新宣读其</w:t>
      </w:r>
      <w:r>
        <w:rPr>
          <w:rFonts w:hint="eastAsia" w:cs="Times New Roman"/>
          <w:color w:val="000000"/>
          <w:sz w:val="24"/>
          <w:szCs w:val="24"/>
          <w:highlight w:val="none"/>
          <w:lang w:eastAsia="zh-CN"/>
        </w:rPr>
        <w:t>内容</w:t>
      </w:r>
      <w:r>
        <w:rPr>
          <w:rFonts w:hint="default" w:ascii="Times New Roman" w:hAnsi="Times New Roman" w:cs="Times New Roman"/>
          <w:color w:val="000000"/>
          <w:sz w:val="24"/>
          <w:szCs w:val="24"/>
          <w:highlight w:val="none"/>
        </w:rPr>
        <w:t>。若投标人现场未提出疑问，则认为投标人已确认</w:t>
      </w:r>
      <w:r>
        <w:rPr>
          <w:rFonts w:hint="default" w:ascii="Times New Roman" w:hAnsi="Times New Roman" w:cs="Times New Roman"/>
          <w:color w:val="000000"/>
          <w:sz w:val="24"/>
          <w:szCs w:val="24"/>
          <w:highlight w:val="none"/>
          <w:lang w:val="en-US" w:eastAsia="zh-CN"/>
        </w:rPr>
        <w:t>开标现场</w:t>
      </w:r>
      <w:r>
        <w:rPr>
          <w:rFonts w:hint="eastAsia" w:cs="Times New Roman"/>
          <w:color w:val="000000"/>
          <w:sz w:val="24"/>
          <w:szCs w:val="24"/>
          <w:highlight w:val="none"/>
          <w:lang w:eastAsia="zh-CN"/>
        </w:rPr>
        <w:t>公布</w:t>
      </w:r>
      <w:r>
        <w:rPr>
          <w:rFonts w:hint="default" w:ascii="Times New Roman" w:hAnsi="Times New Roman" w:cs="Times New Roman"/>
          <w:color w:val="000000"/>
          <w:sz w:val="24"/>
          <w:szCs w:val="24"/>
          <w:highlight w:val="none"/>
        </w:rPr>
        <w:t>的内容。</w:t>
      </w:r>
    </w:p>
    <w:p w14:paraId="4E5B5488">
      <w:pPr>
        <w:pStyle w:val="2"/>
        <w:pageBreakBefore w:val="0"/>
        <w:kinsoku/>
        <w:wordWrap w:val="0"/>
        <w:bidi w:val="0"/>
        <w:rPr>
          <w:rFonts w:hint="default" w:ascii="Times New Roman" w:hAnsi="Times New Roman" w:cs="Times New Roman"/>
          <w:highlight w:val="none"/>
        </w:rPr>
      </w:pPr>
      <w:bookmarkStart w:id="171" w:name="_Toc24866"/>
      <w:bookmarkStart w:id="172" w:name="_Toc28602"/>
      <w:r>
        <w:rPr>
          <w:rFonts w:hint="default" w:ascii="Times New Roman" w:hAnsi="Times New Roman" w:cs="Times New Roman"/>
          <w:highlight w:val="none"/>
        </w:rPr>
        <w:t>5.3 开标补救措施</w:t>
      </w:r>
      <w:bookmarkEnd w:id="171"/>
      <w:bookmarkEnd w:id="172"/>
    </w:p>
    <w:p w14:paraId="4585E9A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5.3.1 开标过程中因本章第5.3.2项、第5.3.3项所列原因，导致系统无法正常运行，将按投标人须知前附表的规定采取补救措施。</w:t>
      </w:r>
    </w:p>
    <w:p w14:paraId="0E4AD91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5.3.2 因</w:t>
      </w:r>
      <w:r>
        <w:rPr>
          <w:rFonts w:hint="eastAsia" w:ascii="宋体" w:hAnsi="宋体" w:eastAsia="宋体" w:cs="宋体"/>
          <w:sz w:val="24"/>
          <w:highlight w:val="none"/>
        </w:rPr>
        <w:t>“</w:t>
      </w:r>
      <w:r>
        <w:rPr>
          <w:rFonts w:hint="default" w:ascii="Times New Roman" w:hAnsi="Times New Roman" w:eastAsia="宋体"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eastAsia="宋体" w:cs="Times New Roman"/>
          <w:sz w:val="24"/>
          <w:highlight w:val="none"/>
        </w:rPr>
        <w:t>系统故障导致投标人无法正常上传加密的投标文件，投标人应打印并递交电子交易平台自动生成的上传失败的异常记录单。</w:t>
      </w:r>
    </w:p>
    <w:p w14:paraId="29B54F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5.3.3 当出现以下情况时，应对未开标的中止电子开标，并在恢复正常后及时安排时间开标：</w:t>
      </w:r>
    </w:p>
    <w:p w14:paraId="4EBDB7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（1）系统服务器发生故障，无法访问或无法使用系统；</w:t>
      </w:r>
    </w:p>
    <w:p w14:paraId="7FF4B7D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（2）系统的软件或数据库出现错误，不能进行正常操作；</w:t>
      </w:r>
    </w:p>
    <w:p w14:paraId="1E57040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（3）系统发现有安全漏洞，有潜在的泄密危险；</w:t>
      </w:r>
    </w:p>
    <w:p w14:paraId="54387A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（4）出现断电事故且短时间内无法恢复供电；</w:t>
      </w:r>
    </w:p>
    <w:p w14:paraId="78FC251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（5）其他无法保证招投标过程正常进行的情形。</w:t>
      </w:r>
    </w:p>
    <w:p w14:paraId="3ED44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5.3.4 采取补救措施时，必须对原有资料及信息作出妥善保密处理。</w:t>
      </w:r>
    </w:p>
    <w:p w14:paraId="31009096">
      <w:pPr>
        <w:pStyle w:val="2"/>
        <w:pageBreakBefore w:val="0"/>
        <w:kinsoku/>
        <w:wordWrap w:val="0"/>
        <w:bidi w:val="0"/>
        <w:rPr>
          <w:rFonts w:hint="default" w:ascii="Times New Roman" w:hAnsi="Times New Roman" w:cs="Times New Roman"/>
          <w:highlight w:val="none"/>
        </w:rPr>
      </w:pPr>
      <w:bookmarkStart w:id="173" w:name="_Toc20631"/>
      <w:bookmarkStart w:id="174" w:name="_Toc2035"/>
      <w:r>
        <w:rPr>
          <w:rFonts w:hint="default" w:ascii="Times New Roman" w:hAnsi="Times New Roman" w:cs="Times New Roman"/>
          <w:highlight w:val="none"/>
        </w:rPr>
        <w:t>5.4</w:t>
      </w:r>
      <w:r>
        <w:rPr>
          <w:rFonts w:hint="default" w:ascii="Times New Roman" w:hAnsi="Times New Roman" w:cs="Times New Roman"/>
          <w:highlight w:val="none"/>
        </w:rPr>
        <w:tab/>
      </w:r>
      <w:r>
        <w:rPr>
          <w:rFonts w:hint="default" w:ascii="Times New Roman" w:hAnsi="Times New Roman" w:cs="Times New Roman"/>
          <w:highlight w:val="none"/>
        </w:rPr>
        <w:t xml:space="preserve"> 开标异议</w:t>
      </w:r>
      <w:bookmarkEnd w:id="173"/>
      <w:bookmarkEnd w:id="174"/>
    </w:p>
    <w:p w14:paraId="62C6E0B0">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cs="Times New Roman"/>
          <w:color w:val="000000"/>
          <w:sz w:val="24"/>
          <w:szCs w:val="24"/>
          <w:highlight w:val="none"/>
        </w:rPr>
        <w:t>投标人对开标有异议的，应在开标现场</w:t>
      </w:r>
      <w:r>
        <w:rPr>
          <w:rFonts w:hint="default" w:ascii="Times New Roman" w:hAnsi="Times New Roman" w:cs="Times New Roman"/>
          <w:color w:val="000000"/>
          <w:sz w:val="24"/>
          <w:szCs w:val="24"/>
          <w:highlight w:val="none"/>
          <w:lang w:val="en-US" w:eastAsia="zh-CN"/>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提出，招标人当场作出答复，并制作记</w:t>
      </w:r>
      <w:r>
        <w:rPr>
          <w:rFonts w:hint="default" w:ascii="Times New Roman" w:hAnsi="Times New Roman" w:cs="Times New Roman"/>
          <w:color w:val="000000"/>
          <w:sz w:val="24"/>
          <w:szCs w:val="24"/>
          <w:highlight w:val="none"/>
        </w:rPr>
        <w:t>录</w:t>
      </w:r>
      <w:r>
        <w:rPr>
          <w:rFonts w:hint="default" w:ascii="Times New Roman" w:hAnsi="Times New Roman" w:eastAsia="宋体" w:cs="Times New Roman"/>
          <w:sz w:val="24"/>
          <w:highlight w:val="none"/>
        </w:rPr>
        <w:t>。</w:t>
      </w:r>
    </w:p>
    <w:p w14:paraId="42BA5C64">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75" w:name="_Toc234832906"/>
      <w:bookmarkStart w:id="176" w:name="_Toc31121"/>
      <w:bookmarkStart w:id="177" w:name="_Toc32026"/>
      <w:r>
        <w:rPr>
          <w:rFonts w:hint="default" w:ascii="Times New Roman" w:hAnsi="Times New Roman" w:eastAsia="黑体" w:cs="Times New Roman"/>
          <w:b w:val="0"/>
          <w:sz w:val="28"/>
          <w:szCs w:val="28"/>
          <w:highlight w:val="none"/>
        </w:rPr>
        <w:t>6. 评标</w:t>
      </w:r>
      <w:bookmarkEnd w:id="175"/>
      <w:bookmarkEnd w:id="176"/>
      <w:bookmarkEnd w:id="177"/>
    </w:p>
    <w:p w14:paraId="724C1AA8">
      <w:pPr>
        <w:pStyle w:val="2"/>
        <w:pageBreakBefore w:val="0"/>
        <w:kinsoku/>
        <w:wordWrap w:val="0"/>
        <w:bidi w:val="0"/>
        <w:rPr>
          <w:rFonts w:hint="default" w:ascii="Times New Roman" w:hAnsi="Times New Roman" w:cs="Times New Roman"/>
          <w:highlight w:val="none"/>
        </w:rPr>
      </w:pPr>
      <w:bookmarkStart w:id="178" w:name="_Toc268"/>
      <w:bookmarkStart w:id="179" w:name="_Toc234832907"/>
      <w:bookmarkStart w:id="180" w:name="_Toc475"/>
      <w:r>
        <w:rPr>
          <w:rFonts w:hint="default" w:ascii="Times New Roman" w:hAnsi="Times New Roman" w:cs="Times New Roman"/>
          <w:highlight w:val="none"/>
        </w:rPr>
        <w:t>6.1</w:t>
      </w:r>
      <w:r>
        <w:rPr>
          <w:rFonts w:hint="default" w:ascii="Times New Roman" w:hAnsi="Times New Roman" w:cs="Times New Roman"/>
          <w:highlight w:val="none"/>
        </w:rPr>
        <w:tab/>
      </w:r>
      <w:r>
        <w:rPr>
          <w:rFonts w:hint="default" w:ascii="Times New Roman" w:hAnsi="Times New Roman" w:cs="Times New Roman"/>
          <w:highlight w:val="none"/>
        </w:rPr>
        <w:t xml:space="preserve"> 评标委员会</w:t>
      </w:r>
      <w:bookmarkEnd w:id="178"/>
      <w:bookmarkEnd w:id="179"/>
      <w:bookmarkEnd w:id="180"/>
    </w:p>
    <w:p w14:paraId="1EADA03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6.1.1 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34520F0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6.1.2 评标委员会成员有下列情形之一的，应主动提出回避：</w:t>
      </w:r>
    </w:p>
    <w:p w14:paraId="07D3718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（1）为负责招标项目监督管理的交通运输主管部门的工作人员；</w:t>
      </w:r>
    </w:p>
    <w:p w14:paraId="76C702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（2）与投标人法定代表人或其委托代理人有近亲属关系；</w:t>
      </w:r>
    </w:p>
    <w:p w14:paraId="22B82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（3）为投标人的工作人员或退休人员；</w:t>
      </w:r>
    </w:p>
    <w:p w14:paraId="1309154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（4）与投标人有其他利害关系，可能影响评标活动公正性；</w:t>
      </w:r>
    </w:p>
    <w:p w14:paraId="6E89347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（5）在与招标投标有关的活动中有过违法违规行为、曾受过行政处罚或刑事处罚。</w:t>
      </w:r>
    </w:p>
    <w:p w14:paraId="3BBA800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招标人及其子公司、招标人下属单位、招标人的上级主管部门或者控股公司、招标代理机构的工作人员或者退休人员不得以专家身份参与本单位招标或者招标代理项目的评标。</w:t>
      </w:r>
    </w:p>
    <w:p w14:paraId="3D0596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5126D928">
      <w:pPr>
        <w:pStyle w:val="2"/>
        <w:pageBreakBefore w:val="0"/>
        <w:kinsoku/>
        <w:wordWrap w:val="0"/>
        <w:bidi w:val="0"/>
        <w:rPr>
          <w:rFonts w:hint="default" w:ascii="Times New Roman" w:hAnsi="Times New Roman" w:cs="Times New Roman"/>
          <w:highlight w:val="none"/>
        </w:rPr>
      </w:pPr>
      <w:bookmarkStart w:id="181" w:name="_Toc29708"/>
      <w:bookmarkStart w:id="182" w:name="_Toc9194"/>
      <w:bookmarkStart w:id="183" w:name="_Toc234832908"/>
      <w:r>
        <w:rPr>
          <w:rFonts w:hint="default" w:ascii="Times New Roman" w:hAnsi="Times New Roman" w:cs="Times New Roman"/>
          <w:highlight w:val="none"/>
        </w:rPr>
        <w:t>6.2 评标原则</w:t>
      </w:r>
      <w:bookmarkEnd w:id="181"/>
      <w:bookmarkEnd w:id="182"/>
      <w:bookmarkEnd w:id="183"/>
    </w:p>
    <w:p w14:paraId="7CD84D1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评标活动遵循公平、公正、科学和择优的原则。</w:t>
      </w:r>
    </w:p>
    <w:p w14:paraId="177D86D7">
      <w:pPr>
        <w:pStyle w:val="2"/>
        <w:pageBreakBefore w:val="0"/>
        <w:kinsoku/>
        <w:wordWrap w:val="0"/>
        <w:bidi w:val="0"/>
        <w:rPr>
          <w:rFonts w:hint="default" w:ascii="Times New Roman" w:hAnsi="Times New Roman" w:cs="Times New Roman"/>
          <w:highlight w:val="none"/>
        </w:rPr>
      </w:pPr>
      <w:bookmarkStart w:id="184" w:name="_Toc32567"/>
      <w:bookmarkStart w:id="185" w:name="_Toc25446"/>
      <w:bookmarkStart w:id="186" w:name="_Toc234832909"/>
      <w:r>
        <w:rPr>
          <w:rFonts w:hint="default" w:ascii="Times New Roman" w:hAnsi="Times New Roman" w:cs="Times New Roman"/>
          <w:highlight w:val="none"/>
        </w:rPr>
        <w:t>6.3 评标</w:t>
      </w:r>
      <w:bookmarkEnd w:id="184"/>
      <w:bookmarkEnd w:id="185"/>
      <w:bookmarkEnd w:id="186"/>
    </w:p>
    <w:p w14:paraId="028FDC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6.3.1 评标委员会按照第三章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规定的方法、评审因素、标准和程序对投标文件进行评审。第三章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没有规定的方法、评审因素和标准，不作为评标依据。</w:t>
      </w:r>
    </w:p>
    <w:p w14:paraId="52A137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6.3.2评标及补救措施</w:t>
      </w:r>
    </w:p>
    <w:p w14:paraId="64AF7A9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78B011A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评标完成后，评标委员会应当向招标人提交书面评标报告和中标候选人名单。评标委员会推荐中标</w:t>
      </w:r>
      <w:bookmarkStart w:id="187" w:name="_Toc300834979"/>
      <w:bookmarkStart w:id="188" w:name="_Toc152042334"/>
      <w:bookmarkStart w:id="189" w:name="_Toc384308240"/>
      <w:bookmarkStart w:id="190" w:name="_Toc152045558"/>
      <w:bookmarkStart w:id="191" w:name="_Toc247527583"/>
      <w:bookmarkStart w:id="192" w:name="_Toc12259"/>
      <w:bookmarkStart w:id="193" w:name="_Toc361508615"/>
      <w:bookmarkStart w:id="194" w:name="_Toc247513982"/>
      <w:bookmarkStart w:id="195" w:name="_Toc352691502"/>
      <w:bookmarkStart w:id="196" w:name="_Toc144974526"/>
      <w:bookmarkStart w:id="197" w:name="_Toc369531546"/>
      <w:r>
        <w:rPr>
          <w:rFonts w:hint="default" w:ascii="Times New Roman" w:hAnsi="Times New Roman" w:cs="Times New Roman"/>
          <w:color w:val="000000"/>
          <w:sz w:val="24"/>
          <w:szCs w:val="24"/>
          <w:highlight w:val="none"/>
        </w:rPr>
        <w:t>候选人的人数见投标人须知前附</w:t>
      </w:r>
      <w:bookmarkEnd w:id="187"/>
      <w:bookmarkEnd w:id="188"/>
      <w:bookmarkEnd w:id="189"/>
      <w:bookmarkEnd w:id="190"/>
      <w:bookmarkEnd w:id="191"/>
      <w:bookmarkEnd w:id="192"/>
      <w:bookmarkEnd w:id="193"/>
      <w:bookmarkEnd w:id="194"/>
      <w:bookmarkEnd w:id="195"/>
      <w:bookmarkEnd w:id="196"/>
      <w:bookmarkEnd w:id="197"/>
      <w:r>
        <w:rPr>
          <w:rFonts w:hint="default" w:ascii="Times New Roman" w:hAnsi="Times New Roman" w:cs="Times New Roman"/>
          <w:color w:val="000000"/>
          <w:sz w:val="24"/>
          <w:szCs w:val="24"/>
          <w:highlight w:val="none"/>
        </w:rPr>
        <w:t>表</w:t>
      </w:r>
      <w:r>
        <w:rPr>
          <w:rFonts w:hint="default" w:ascii="Times New Roman" w:hAnsi="Times New Roman" w:eastAsia="宋体" w:cs="Times New Roman"/>
          <w:sz w:val="24"/>
          <w:highlight w:val="none"/>
        </w:rPr>
        <w:t>。</w:t>
      </w:r>
    </w:p>
    <w:p w14:paraId="0735BDD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98" w:name="_Toc29075"/>
      <w:bookmarkStart w:id="199" w:name="_Toc20021"/>
      <w:bookmarkStart w:id="200" w:name="_Toc234832910"/>
      <w:r>
        <w:rPr>
          <w:rFonts w:hint="default" w:ascii="Times New Roman" w:hAnsi="Times New Roman" w:eastAsia="黑体" w:cs="Times New Roman"/>
          <w:b w:val="0"/>
          <w:sz w:val="28"/>
          <w:szCs w:val="28"/>
          <w:highlight w:val="none"/>
        </w:rPr>
        <w:t>7. 合同授予</w:t>
      </w:r>
      <w:bookmarkEnd w:id="198"/>
      <w:bookmarkEnd w:id="199"/>
      <w:bookmarkEnd w:id="200"/>
    </w:p>
    <w:p w14:paraId="1FE7A768">
      <w:pPr>
        <w:pStyle w:val="2"/>
        <w:pageBreakBefore w:val="0"/>
        <w:kinsoku/>
        <w:wordWrap w:val="0"/>
        <w:bidi w:val="0"/>
        <w:rPr>
          <w:rFonts w:hint="default" w:ascii="Times New Roman" w:hAnsi="Times New Roman" w:cs="Times New Roman"/>
          <w:highlight w:val="none"/>
        </w:rPr>
      </w:pPr>
      <w:bookmarkStart w:id="201" w:name="_Toc29612"/>
      <w:bookmarkStart w:id="202" w:name="_Toc28003"/>
      <w:bookmarkStart w:id="203" w:name="_Toc234832911"/>
      <w:r>
        <w:rPr>
          <w:rFonts w:hint="default" w:ascii="Times New Roman" w:hAnsi="Times New Roman" w:cs="Times New Roman"/>
          <w:highlight w:val="none"/>
        </w:rPr>
        <w:t>7.1 中标候选人公示</w:t>
      </w:r>
      <w:bookmarkEnd w:id="201"/>
      <w:bookmarkEnd w:id="202"/>
    </w:p>
    <w:p w14:paraId="47238E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招标人在收到评标报告之日起3日内，按照投标人须知前附表规定的公示媒介和期限公示中标候选人，公示期不得少于3日，公示内容包括：</w:t>
      </w:r>
    </w:p>
    <w:p w14:paraId="5BEDC5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（1）中标候选人排序、名称、投标报价，对工程质量要求、安全目标和工期的响应情况；</w:t>
      </w:r>
    </w:p>
    <w:p w14:paraId="3718DBB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（2）中标候选人在投标文件中承诺的项目经理和项目总工姓名、个人业绩、相关证书名称和编号；</w:t>
      </w:r>
    </w:p>
    <w:p w14:paraId="47ABD5B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（3）中标候选人在投标文件中填报的项目业绩；</w:t>
      </w:r>
    </w:p>
    <w:p w14:paraId="57DCDF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（4）被否决投标的投标人名称、否决依据和原因；</w:t>
      </w:r>
    </w:p>
    <w:p w14:paraId="7876D7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（5）提出异议的渠道和方式；</w:t>
      </w:r>
    </w:p>
    <w:p w14:paraId="7CF8ED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（6）投标人须知前附表规定公示的其他内容。</w:t>
      </w:r>
    </w:p>
    <w:p w14:paraId="01F90938">
      <w:pPr>
        <w:pStyle w:val="2"/>
        <w:pageBreakBefore w:val="0"/>
        <w:kinsoku/>
        <w:wordWrap w:val="0"/>
        <w:bidi w:val="0"/>
        <w:rPr>
          <w:rFonts w:hint="default" w:ascii="Times New Roman" w:hAnsi="Times New Roman" w:cs="Times New Roman"/>
          <w:highlight w:val="none"/>
        </w:rPr>
      </w:pPr>
      <w:bookmarkStart w:id="204" w:name="_Toc4732"/>
      <w:bookmarkStart w:id="205" w:name="_Toc28677"/>
      <w:r>
        <w:rPr>
          <w:rFonts w:hint="default" w:ascii="Times New Roman" w:hAnsi="Times New Roman" w:cs="Times New Roman"/>
          <w:highlight w:val="none"/>
        </w:rPr>
        <w:t>7.2 评标结果异议</w:t>
      </w:r>
      <w:bookmarkEnd w:id="204"/>
      <w:bookmarkEnd w:id="205"/>
    </w:p>
    <w:p w14:paraId="7C62DA1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投标人或其他利害关系人对依法必须进行招标的项目的评标结果有异议的，应在中标候选人公示期间提出。招标人将在收到异议之日起 3 日内作出答复；作出答复前，将暂停招标投标活动。提出异议与作出答复均应通过“电子交易平台”在“异议与答复”菜单中完成。</w:t>
      </w:r>
    </w:p>
    <w:p w14:paraId="6A9F4200">
      <w:pPr>
        <w:pStyle w:val="2"/>
        <w:pageBreakBefore w:val="0"/>
        <w:kinsoku/>
        <w:wordWrap w:val="0"/>
        <w:bidi w:val="0"/>
        <w:rPr>
          <w:rFonts w:hint="default" w:ascii="Times New Roman" w:hAnsi="Times New Roman" w:cs="Times New Roman"/>
          <w:highlight w:val="none"/>
        </w:rPr>
      </w:pPr>
      <w:bookmarkStart w:id="206" w:name="_Toc2167"/>
      <w:bookmarkStart w:id="207" w:name="_Toc30455"/>
      <w:r>
        <w:rPr>
          <w:rFonts w:hint="default" w:ascii="Times New Roman" w:hAnsi="Times New Roman" w:cs="Times New Roman"/>
          <w:highlight w:val="none"/>
        </w:rPr>
        <w:t>7.3 中标候选人履约能力审查</w:t>
      </w:r>
      <w:bookmarkEnd w:id="206"/>
      <w:bookmarkEnd w:id="207"/>
    </w:p>
    <w:p w14:paraId="1F42C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中标候选人的经营、财务状况发生较大</w:t>
      </w:r>
      <w:r>
        <w:rPr>
          <w:rFonts w:hint="default" w:ascii="Times New Roman" w:hAnsi="Times New Roman" w:eastAsia="宋体" w:cs="Times New Roman"/>
          <w:sz w:val="24"/>
          <w:highlight w:val="none"/>
        </w:rPr>
        <w:t>变化或存在违法行为，招标人认为可能影响其履约能力的，将在发出中标通知书前提请原评标委员会按照招标文件规定的标准和方法进行审查确认。</w:t>
      </w:r>
    </w:p>
    <w:p w14:paraId="7A15276E">
      <w:pPr>
        <w:pStyle w:val="2"/>
        <w:pageBreakBefore w:val="0"/>
        <w:kinsoku/>
        <w:wordWrap w:val="0"/>
        <w:bidi w:val="0"/>
        <w:rPr>
          <w:rFonts w:hint="default" w:ascii="Times New Roman" w:hAnsi="Times New Roman" w:cs="Times New Roman"/>
          <w:highlight w:val="none"/>
        </w:rPr>
      </w:pPr>
      <w:bookmarkStart w:id="208" w:name="_Toc5726"/>
      <w:bookmarkStart w:id="209" w:name="_Toc31521"/>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4 </w:t>
      </w:r>
      <w:r>
        <w:rPr>
          <w:rFonts w:hint="default" w:ascii="Times New Roman" w:hAnsi="Times New Roman" w:cs="Times New Roman"/>
          <w:highlight w:val="none"/>
        </w:rPr>
        <w:t>定标</w:t>
      </w:r>
      <w:bookmarkEnd w:id="203"/>
      <w:bookmarkEnd w:id="208"/>
      <w:bookmarkEnd w:id="209"/>
    </w:p>
    <w:p w14:paraId="15DD17A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按照投标人须知前附表的规定，招标人或招标人授权的评标委员会依法确定中标人。</w:t>
      </w:r>
    </w:p>
    <w:p w14:paraId="2E31ACCC">
      <w:pPr>
        <w:pStyle w:val="2"/>
        <w:pageBreakBefore w:val="0"/>
        <w:kinsoku/>
        <w:wordWrap w:val="0"/>
        <w:bidi w:val="0"/>
        <w:rPr>
          <w:rFonts w:hint="default" w:ascii="Times New Roman" w:hAnsi="Times New Roman" w:cs="Times New Roman"/>
          <w:highlight w:val="none"/>
        </w:rPr>
      </w:pPr>
      <w:bookmarkStart w:id="210" w:name="_Toc4863"/>
      <w:bookmarkStart w:id="211" w:name="_Toc234832912"/>
      <w:bookmarkStart w:id="212" w:name="_Toc10213"/>
      <w:r>
        <w:rPr>
          <w:rFonts w:hint="default" w:ascii="Times New Roman" w:hAnsi="Times New Roman" w:cs="Times New Roman"/>
          <w:highlight w:val="none"/>
        </w:rPr>
        <w:t>7.</w:t>
      </w:r>
      <w:r>
        <w:rPr>
          <w:rFonts w:hint="default" w:ascii="Times New Roman" w:hAnsi="Times New Roman" w:cs="Times New Roman"/>
          <w:highlight w:val="none"/>
          <w:lang w:eastAsia="zh-CN"/>
        </w:rPr>
        <w:t>5 中标通知</w:t>
      </w:r>
      <w:bookmarkEnd w:id="210"/>
      <w:bookmarkEnd w:id="211"/>
      <w:bookmarkEnd w:id="212"/>
    </w:p>
    <w:p w14:paraId="2478A53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在本章第3.3款规定的投标有效期内，招标人应通过</w:t>
      </w:r>
      <w:r>
        <w:rPr>
          <w:rFonts w:hint="default" w:ascii="Times New Roman" w:hAnsi="Times New Roman" w:cs="Times New Roman"/>
          <w:sz w:val="24"/>
          <w:highlight w:val="none"/>
          <w:lang w:val="en-US" w:eastAsia="zh-CN"/>
        </w:rPr>
        <w:t>投标人须知前附表规定的</w:t>
      </w:r>
      <w:r>
        <w:rPr>
          <w:rFonts w:hint="default" w:ascii="Times New Roman" w:hAnsi="Times New Roman" w:cs="Times New Roman"/>
          <w:sz w:val="24"/>
          <w:highlight w:val="none"/>
        </w:rPr>
        <w:t>形式向中标人发出中标通知书，同时将中标结果通知未中标的投标人</w:t>
      </w:r>
      <w:r>
        <w:rPr>
          <w:rFonts w:hint="default" w:ascii="Times New Roman" w:hAnsi="Times New Roman" w:eastAsia="宋体" w:cs="Times New Roman"/>
          <w:sz w:val="24"/>
          <w:highlight w:val="none"/>
        </w:rPr>
        <w:t>。</w:t>
      </w:r>
    </w:p>
    <w:p w14:paraId="4822E616">
      <w:pPr>
        <w:pStyle w:val="2"/>
        <w:pageBreakBefore w:val="0"/>
        <w:kinsoku/>
        <w:wordWrap w:val="0"/>
        <w:bidi w:val="0"/>
        <w:rPr>
          <w:rFonts w:hint="default" w:ascii="Times New Roman" w:hAnsi="Times New Roman" w:cs="Times New Roman"/>
          <w:highlight w:val="none"/>
        </w:rPr>
      </w:pPr>
      <w:bookmarkStart w:id="213" w:name="_Toc16073"/>
      <w:bookmarkStart w:id="214" w:name="_Toc29380"/>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6 </w:t>
      </w:r>
      <w:r>
        <w:rPr>
          <w:rFonts w:hint="default" w:ascii="Times New Roman" w:hAnsi="Times New Roman" w:cs="Times New Roman"/>
          <w:highlight w:val="none"/>
        </w:rPr>
        <w:t>中标</w:t>
      </w:r>
      <w:r>
        <w:rPr>
          <w:rFonts w:hint="default" w:ascii="Times New Roman" w:hAnsi="Times New Roman" w:cs="Times New Roman"/>
          <w:highlight w:val="none"/>
          <w:lang w:eastAsia="zh-CN"/>
        </w:rPr>
        <w:t>结果</w:t>
      </w:r>
      <w:r>
        <w:rPr>
          <w:rFonts w:hint="default" w:ascii="Times New Roman" w:hAnsi="Times New Roman" w:cs="Times New Roman"/>
          <w:highlight w:val="none"/>
        </w:rPr>
        <w:t>公告</w:t>
      </w:r>
      <w:bookmarkEnd w:id="213"/>
      <w:bookmarkEnd w:id="214"/>
    </w:p>
    <w:p w14:paraId="1CD897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招标人在确定中标人之日起3日内，按照投标人须知前附表规定的公告媒介和期限公告中标结果，公告期不得少于3日。公告内容包括中标人名称、中标价。</w:t>
      </w:r>
    </w:p>
    <w:p w14:paraId="26D612B1">
      <w:pPr>
        <w:pStyle w:val="2"/>
        <w:pageBreakBefore w:val="0"/>
        <w:kinsoku/>
        <w:wordWrap w:val="0"/>
        <w:bidi w:val="0"/>
        <w:rPr>
          <w:rFonts w:hint="default" w:ascii="Times New Roman" w:hAnsi="Times New Roman" w:cs="Times New Roman"/>
          <w:highlight w:val="none"/>
        </w:rPr>
      </w:pPr>
      <w:bookmarkStart w:id="215" w:name="_Toc234832913"/>
      <w:bookmarkStart w:id="216" w:name="_Toc24579"/>
      <w:bookmarkStart w:id="217" w:name="_Toc24614"/>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7 </w:t>
      </w:r>
      <w:r>
        <w:rPr>
          <w:rFonts w:hint="default" w:ascii="Times New Roman" w:hAnsi="Times New Roman" w:cs="Times New Roman"/>
          <w:highlight w:val="none"/>
        </w:rPr>
        <w:t>履约</w:t>
      </w:r>
      <w:bookmarkEnd w:id="215"/>
      <w:r>
        <w:rPr>
          <w:rFonts w:hint="default" w:ascii="Times New Roman" w:hAnsi="Times New Roman" w:cs="Times New Roman"/>
          <w:highlight w:val="none"/>
          <w:lang w:eastAsia="zh-CN"/>
        </w:rPr>
        <w:t>保证金</w:t>
      </w:r>
      <w:bookmarkEnd w:id="216"/>
      <w:bookmarkEnd w:id="217"/>
    </w:p>
    <w:p w14:paraId="43998E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7.7.1 在签订合同前，中标人应按投标人须知前附表规定的形式、金额和招标文件第四章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合同条款及格式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CB4B7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采用银行保函时，应由符合投标人须知前附表规定级别的银行开具，所需的费用由中标人承担，中标人应保证银行保函有效。</w:t>
      </w:r>
    </w:p>
    <w:p w14:paraId="7CBF196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7.7.2 中标人不能按本章第7.7.1项要求提交履约保证金的，视为放弃中标，其投标保证金不予退还，给招标人造成的损失超过投标保证金数额的，中标人还应对超过部分予以赔偿。</w:t>
      </w:r>
    </w:p>
    <w:p w14:paraId="14FC9BF3">
      <w:pPr>
        <w:pStyle w:val="2"/>
        <w:pageBreakBefore w:val="0"/>
        <w:kinsoku/>
        <w:wordWrap w:val="0"/>
        <w:bidi w:val="0"/>
        <w:rPr>
          <w:rFonts w:hint="default" w:ascii="Times New Roman" w:hAnsi="Times New Roman" w:cs="Times New Roman"/>
          <w:highlight w:val="none"/>
        </w:rPr>
      </w:pPr>
      <w:bookmarkStart w:id="218" w:name="_Toc10896"/>
      <w:bookmarkStart w:id="219" w:name="_Toc234832914"/>
      <w:bookmarkStart w:id="220" w:name="_Toc12449"/>
      <w:r>
        <w:rPr>
          <w:rFonts w:hint="default" w:ascii="Times New Roman" w:hAnsi="Times New Roman" w:cs="Times New Roman"/>
          <w:highlight w:val="none"/>
        </w:rPr>
        <w:t>7.</w:t>
      </w:r>
      <w:r>
        <w:rPr>
          <w:rFonts w:hint="default" w:ascii="Times New Roman" w:hAnsi="Times New Roman" w:cs="Times New Roman"/>
          <w:highlight w:val="none"/>
          <w:lang w:eastAsia="zh-CN"/>
        </w:rPr>
        <w:t>8</w:t>
      </w:r>
      <w:r>
        <w:rPr>
          <w:rFonts w:hint="default" w:ascii="Times New Roman" w:hAnsi="Times New Roman" w:cs="Times New Roman"/>
          <w:highlight w:val="none"/>
        </w:rPr>
        <w:t xml:space="preserve"> 签订合同</w:t>
      </w:r>
      <w:bookmarkEnd w:id="218"/>
      <w:bookmarkEnd w:id="219"/>
      <w:bookmarkEnd w:id="220"/>
    </w:p>
    <w:p w14:paraId="353DE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A8665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7.8.2 发出中标通知书后，招标人无正当理由拒签合同，或在签订合同时向中标人提出附加条件的，招标人向中标人退还投标保证金；给中标人造成损失的，还应赔偿损失。</w:t>
      </w:r>
    </w:p>
    <w:p w14:paraId="0B1EE2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7.8.3 联合体中标的，联合体各方应共同与招标人签订合同，就中标项目向招标人承担连带责任。</w:t>
      </w:r>
    </w:p>
    <w:p w14:paraId="134C51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7.8.4 招标人和中标人在签订合同协议书的同时，须按照本招标文件规定的格式和要求签订廉政合同及安全生产合同，明确双方在廉政建设和安全生产方面的权利和义务以及应承担的违约责任。</w:t>
      </w:r>
    </w:p>
    <w:p w14:paraId="70B0ED4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21" w:name="_Toc11328"/>
      <w:bookmarkStart w:id="222" w:name="_Toc11626"/>
      <w:bookmarkStart w:id="223" w:name="_Toc234832918"/>
      <w:r>
        <w:rPr>
          <w:rFonts w:hint="default" w:ascii="Times New Roman" w:hAnsi="Times New Roman" w:eastAsia="黑体" w:cs="Times New Roman"/>
          <w:b w:val="0"/>
          <w:sz w:val="28"/>
          <w:szCs w:val="28"/>
          <w:highlight w:val="none"/>
          <w:lang w:eastAsia="zh-CN"/>
        </w:rPr>
        <w:t>8</w:t>
      </w:r>
      <w:r>
        <w:rPr>
          <w:rFonts w:hint="default" w:ascii="Times New Roman" w:hAnsi="Times New Roman" w:eastAsia="黑体" w:cs="Times New Roman"/>
          <w:b w:val="0"/>
          <w:sz w:val="28"/>
          <w:szCs w:val="28"/>
          <w:highlight w:val="none"/>
        </w:rPr>
        <w:t>. 纪律和监督</w:t>
      </w:r>
      <w:bookmarkEnd w:id="221"/>
      <w:bookmarkEnd w:id="222"/>
      <w:bookmarkEnd w:id="223"/>
    </w:p>
    <w:p w14:paraId="7A565EBA">
      <w:pPr>
        <w:pStyle w:val="2"/>
        <w:pageBreakBefore w:val="0"/>
        <w:kinsoku/>
        <w:wordWrap w:val="0"/>
        <w:bidi w:val="0"/>
        <w:rPr>
          <w:rFonts w:hint="default" w:ascii="Times New Roman" w:hAnsi="Times New Roman" w:cs="Times New Roman"/>
          <w:highlight w:val="none"/>
        </w:rPr>
      </w:pPr>
      <w:bookmarkStart w:id="224" w:name="_Toc2195"/>
      <w:bookmarkStart w:id="225" w:name="_Toc234832919"/>
      <w:bookmarkStart w:id="226" w:name="_Toc31385"/>
      <w:r>
        <w:rPr>
          <w:rFonts w:hint="default" w:ascii="Times New Roman" w:hAnsi="Times New Roman" w:cs="Times New Roman"/>
          <w:highlight w:val="none"/>
          <w:lang w:eastAsia="zh-CN"/>
        </w:rPr>
        <w:t>8</w:t>
      </w:r>
      <w:r>
        <w:rPr>
          <w:rFonts w:hint="default" w:ascii="Times New Roman" w:hAnsi="Times New Roman" w:cs="Times New Roman"/>
          <w:highlight w:val="none"/>
        </w:rPr>
        <w:t>.1 对招标人的纪律要求</w:t>
      </w:r>
      <w:bookmarkEnd w:id="224"/>
      <w:bookmarkEnd w:id="225"/>
      <w:bookmarkEnd w:id="226"/>
    </w:p>
    <w:p w14:paraId="3D4870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招标人不得泄露招标投标活动中应保密的情况和资料，不得与投标人串通损害国家利益、社会公共利益或他人合法权益。</w:t>
      </w:r>
    </w:p>
    <w:p w14:paraId="15CBEF37">
      <w:pPr>
        <w:pStyle w:val="2"/>
        <w:pageBreakBefore w:val="0"/>
        <w:kinsoku/>
        <w:wordWrap w:val="0"/>
        <w:bidi w:val="0"/>
        <w:rPr>
          <w:rFonts w:hint="default" w:ascii="Times New Roman" w:hAnsi="Times New Roman" w:cs="Times New Roman"/>
          <w:highlight w:val="none"/>
        </w:rPr>
      </w:pPr>
      <w:bookmarkStart w:id="227" w:name="_Toc28415"/>
      <w:bookmarkStart w:id="228" w:name="_Toc234832920"/>
      <w:bookmarkStart w:id="229" w:name="_Toc28155"/>
      <w:r>
        <w:rPr>
          <w:rFonts w:hint="default" w:ascii="Times New Roman" w:hAnsi="Times New Roman" w:cs="Times New Roman"/>
          <w:highlight w:val="none"/>
          <w:lang w:eastAsia="zh-CN"/>
        </w:rPr>
        <w:t>8</w:t>
      </w:r>
      <w:r>
        <w:rPr>
          <w:rFonts w:hint="default" w:ascii="Times New Roman" w:hAnsi="Times New Roman" w:cs="Times New Roman"/>
          <w:highlight w:val="none"/>
        </w:rPr>
        <w:t>.2 对投标人的纪律要求</w:t>
      </w:r>
      <w:bookmarkEnd w:id="227"/>
      <w:bookmarkEnd w:id="228"/>
      <w:bookmarkEnd w:id="229"/>
    </w:p>
    <w:p w14:paraId="4AABA61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29C4BD6D">
      <w:pPr>
        <w:pStyle w:val="2"/>
        <w:pageBreakBefore w:val="0"/>
        <w:kinsoku/>
        <w:wordWrap w:val="0"/>
        <w:bidi w:val="0"/>
        <w:rPr>
          <w:rFonts w:hint="default" w:ascii="Times New Roman" w:hAnsi="Times New Roman" w:cs="Times New Roman"/>
          <w:highlight w:val="none"/>
        </w:rPr>
      </w:pPr>
      <w:bookmarkStart w:id="230" w:name="_Toc234832921"/>
      <w:bookmarkStart w:id="231" w:name="_Toc22216"/>
      <w:bookmarkStart w:id="232" w:name="_Toc9838"/>
      <w:r>
        <w:rPr>
          <w:rFonts w:hint="default" w:ascii="Times New Roman" w:hAnsi="Times New Roman" w:cs="Times New Roman"/>
          <w:highlight w:val="none"/>
          <w:lang w:eastAsia="zh-CN"/>
        </w:rPr>
        <w:t>8</w:t>
      </w:r>
      <w:r>
        <w:rPr>
          <w:rFonts w:hint="default" w:ascii="Times New Roman" w:hAnsi="Times New Roman" w:cs="Times New Roman"/>
          <w:highlight w:val="none"/>
        </w:rPr>
        <w:t>.3 对评标委员会成员的纪律要求</w:t>
      </w:r>
      <w:bookmarkEnd w:id="230"/>
      <w:bookmarkEnd w:id="231"/>
      <w:bookmarkEnd w:id="232"/>
    </w:p>
    <w:p w14:paraId="39949F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没有规定的评审因素和标准进行评标。</w:t>
      </w:r>
    </w:p>
    <w:p w14:paraId="368D61D1">
      <w:pPr>
        <w:pStyle w:val="2"/>
        <w:pageBreakBefore w:val="0"/>
        <w:kinsoku/>
        <w:wordWrap w:val="0"/>
        <w:bidi w:val="0"/>
        <w:rPr>
          <w:rFonts w:hint="default" w:ascii="Times New Roman" w:hAnsi="Times New Roman" w:cs="Times New Roman"/>
          <w:highlight w:val="none"/>
        </w:rPr>
      </w:pPr>
      <w:bookmarkStart w:id="233" w:name="_Toc6211"/>
      <w:bookmarkStart w:id="234" w:name="_Toc26993"/>
      <w:bookmarkStart w:id="235" w:name="_Toc234832922"/>
      <w:r>
        <w:rPr>
          <w:rFonts w:hint="default" w:ascii="Times New Roman" w:hAnsi="Times New Roman" w:cs="Times New Roman"/>
          <w:highlight w:val="none"/>
          <w:lang w:eastAsia="zh-CN"/>
        </w:rPr>
        <w:t>8</w:t>
      </w:r>
      <w:r>
        <w:rPr>
          <w:rFonts w:hint="default" w:ascii="Times New Roman" w:hAnsi="Times New Roman" w:cs="Times New Roman"/>
          <w:highlight w:val="none"/>
        </w:rPr>
        <w:t>.4 对与评标活动有关的工作人员的纪律要求</w:t>
      </w:r>
      <w:bookmarkEnd w:id="233"/>
      <w:bookmarkEnd w:id="234"/>
      <w:bookmarkEnd w:id="235"/>
    </w:p>
    <w:p w14:paraId="5B347FF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133F459">
      <w:pPr>
        <w:pStyle w:val="2"/>
        <w:pageBreakBefore w:val="0"/>
        <w:kinsoku/>
        <w:wordWrap w:val="0"/>
        <w:bidi w:val="0"/>
        <w:rPr>
          <w:rFonts w:hint="default" w:ascii="Times New Roman" w:hAnsi="Times New Roman" w:cs="Times New Roman"/>
          <w:highlight w:val="none"/>
        </w:rPr>
      </w:pPr>
      <w:bookmarkStart w:id="236" w:name="_Toc234832923"/>
      <w:bookmarkStart w:id="237" w:name="_Toc19294"/>
      <w:bookmarkStart w:id="238" w:name="_Toc12008"/>
      <w:r>
        <w:rPr>
          <w:rFonts w:hint="default" w:ascii="Times New Roman" w:hAnsi="Times New Roman" w:cs="Times New Roman"/>
          <w:highlight w:val="none"/>
          <w:lang w:eastAsia="zh-CN"/>
        </w:rPr>
        <w:t>8</w:t>
      </w:r>
      <w:r>
        <w:rPr>
          <w:rFonts w:hint="default" w:ascii="Times New Roman" w:hAnsi="Times New Roman" w:cs="Times New Roman"/>
          <w:highlight w:val="none"/>
        </w:rPr>
        <w:t>.5 投诉</w:t>
      </w:r>
      <w:bookmarkEnd w:id="236"/>
      <w:bookmarkEnd w:id="237"/>
      <w:bookmarkEnd w:id="238"/>
    </w:p>
    <w:p w14:paraId="0A66F47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8.5.1 投标人或其他利害关系人认为招标投标活动不符合法律、行政法规规定的，可以自知道或应当知道之日起10日内向有关行政监督部门投诉。投诉应有明确的请求和必要的证明材料。</w:t>
      </w:r>
    </w:p>
    <w:p w14:paraId="19A3070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监督部门的联系方式见投标人须知前附表。</w:t>
      </w:r>
    </w:p>
    <w:p w14:paraId="7BD9FA9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8.5.2 投标人或其他利害关系人对招标文件、开标和评标结果提出投诉的，应按照本章第2.4款、第5.3款和第7.2款的规定先向招标人提出异议。异议答复期间</w:t>
      </w:r>
      <w:bookmarkStart w:id="239" w:name="_Toc361508630"/>
      <w:bookmarkStart w:id="240" w:name="_Toc247527595"/>
      <w:bookmarkStart w:id="241" w:name="_Toc144974538"/>
      <w:bookmarkStart w:id="242" w:name="_Toc152042346"/>
      <w:bookmarkStart w:id="243" w:name="_Toc247513994"/>
      <w:bookmarkStart w:id="244" w:name="_Toc12776"/>
      <w:bookmarkStart w:id="245" w:name="_Toc300834993"/>
      <w:bookmarkStart w:id="246" w:name="_Toc369531561"/>
      <w:bookmarkStart w:id="247" w:name="_Toc384308255"/>
      <w:bookmarkStart w:id="248" w:name="_Toc152045570"/>
      <w:bookmarkStart w:id="249" w:name="_Toc352691517"/>
      <w:r>
        <w:rPr>
          <w:rFonts w:hint="default" w:ascii="Times New Roman" w:hAnsi="Times New Roman" w:eastAsia="宋体" w:cs="Times New Roman"/>
          <w:sz w:val="24"/>
          <w:highlight w:val="none"/>
        </w:rPr>
        <w:t>不计算在第8.5.</w:t>
      </w:r>
      <w:bookmarkEnd w:id="239"/>
      <w:bookmarkEnd w:id="240"/>
      <w:bookmarkEnd w:id="241"/>
      <w:bookmarkEnd w:id="242"/>
      <w:bookmarkEnd w:id="243"/>
      <w:bookmarkEnd w:id="244"/>
      <w:bookmarkEnd w:id="245"/>
      <w:bookmarkEnd w:id="246"/>
      <w:bookmarkEnd w:id="247"/>
      <w:bookmarkEnd w:id="248"/>
      <w:bookmarkEnd w:id="249"/>
      <w:r>
        <w:rPr>
          <w:rFonts w:hint="default" w:ascii="Times New Roman" w:hAnsi="Times New Roman" w:eastAsia="宋体" w:cs="Times New Roman"/>
          <w:sz w:val="24"/>
          <w:highlight w:val="none"/>
        </w:rPr>
        <w:t>1项规定的期限内。</w:t>
      </w:r>
    </w:p>
    <w:p w14:paraId="5EEE56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lang w:eastAsia="zh-CN"/>
        </w:rPr>
      </w:pPr>
      <w:bookmarkStart w:id="250" w:name="_Toc234832924"/>
      <w:bookmarkStart w:id="251" w:name="_Toc18903"/>
      <w:bookmarkStart w:id="252" w:name="_Toc5040"/>
      <w:r>
        <w:rPr>
          <w:rFonts w:hint="default" w:ascii="Times New Roman" w:hAnsi="Times New Roman" w:cs="Times New Roman"/>
          <w:b w:val="0"/>
          <w:sz w:val="28"/>
          <w:szCs w:val="28"/>
          <w:highlight w:val="none"/>
          <w:lang w:val="en-US" w:eastAsia="zh-CN"/>
        </w:rPr>
        <w:t>9</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b w:val="0"/>
          <w:sz w:val="28"/>
          <w:szCs w:val="28"/>
          <w:highlight w:val="none"/>
          <w:lang w:eastAsia="zh-CN"/>
        </w:rPr>
        <w:t xml:space="preserve"> </w:t>
      </w:r>
      <w:r>
        <w:rPr>
          <w:rFonts w:hint="default" w:ascii="Times New Roman" w:hAnsi="Times New Roman" w:eastAsia="黑体" w:cs="Times New Roman"/>
          <w:b w:val="0"/>
          <w:sz w:val="28"/>
          <w:szCs w:val="28"/>
          <w:highlight w:val="none"/>
        </w:rPr>
        <w:t>需要补充的其他内容</w:t>
      </w:r>
      <w:bookmarkEnd w:id="250"/>
      <w:bookmarkEnd w:id="251"/>
      <w:bookmarkEnd w:id="252"/>
    </w:p>
    <w:p w14:paraId="106D84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宋体" w:cs="Times New Roman"/>
          <w:sz w:val="24"/>
          <w:highlight w:val="none"/>
        </w:rPr>
        <w:t>需要补充的其他内容：见投标人须知前附表。</w:t>
      </w:r>
    </w:p>
    <w:p w14:paraId="5E241FB4">
      <w:pPr>
        <w:pStyle w:val="2"/>
        <w:wordWrap w:val="0"/>
        <w:spacing w:before="0" w:after="100" w:afterAutospacing="1" w:line="240" w:lineRule="atLeast"/>
        <w:rPr>
          <w:rFonts w:hint="default" w:ascii="Times New Roman" w:hAnsi="Times New Roman" w:eastAsia="黑体" w:cs="Times New Roman"/>
          <w:b w:val="0"/>
          <w:sz w:val="24"/>
          <w:szCs w:val="24"/>
          <w:highlight w:val="none"/>
        </w:rPr>
      </w:pPr>
      <w:r>
        <w:rPr>
          <w:rFonts w:hint="default" w:ascii="Times New Roman" w:hAnsi="Times New Roman" w:eastAsia="隶书" w:cs="Times New Roman"/>
          <w:sz w:val="24"/>
          <w:highlight w:val="none"/>
        </w:rPr>
        <w:br w:type="page"/>
      </w:r>
      <w:bookmarkStart w:id="253" w:name="_Toc234832925"/>
      <w:bookmarkStart w:id="254" w:name="_Toc19391"/>
      <w:bookmarkStart w:id="255" w:name="_Toc25532"/>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开标记录表 </w:t>
      </w:r>
      <w:r>
        <w:rPr>
          <w:rStyle w:val="48"/>
          <w:rFonts w:hint="default" w:ascii="Times New Roman" w:hAnsi="Times New Roman" w:eastAsia="黑体" w:cs="Times New Roman"/>
          <w:b w:val="0"/>
          <w:sz w:val="28"/>
          <w:szCs w:val="28"/>
          <w:highlight w:val="none"/>
        </w:rPr>
        <w:footnoteReference w:id="20"/>
      </w:r>
      <w:bookmarkEnd w:id="253"/>
      <w:bookmarkEnd w:id="254"/>
      <w:bookmarkEnd w:id="255"/>
    </w:p>
    <w:p w14:paraId="45ED7494">
      <w:pPr>
        <w:pStyle w:val="2"/>
        <w:wordWrap w:val="0"/>
        <w:spacing w:before="0" w:after="100" w:afterAutospacing="1" w:line="240" w:lineRule="atLeast"/>
        <w:rPr>
          <w:rFonts w:hint="default" w:ascii="Times New Roman" w:hAnsi="Times New Roman" w:eastAsia="黑体" w:cs="Times New Roman"/>
          <w:b w:val="0"/>
          <w:sz w:val="24"/>
          <w:szCs w:val="24"/>
          <w:highlight w:val="none"/>
        </w:rPr>
      </w:pPr>
      <w:bookmarkStart w:id="256" w:name="_Toc24220"/>
      <w:bookmarkStart w:id="257" w:name="_Toc11154"/>
      <w:bookmarkStart w:id="258" w:name="_Toc16381"/>
      <w:r>
        <w:rPr>
          <w:rFonts w:hint="eastAsia" w:ascii="宋体" w:hAnsi="宋体" w:eastAsia="宋体" w:cs="宋体"/>
          <w:sz w:val="24"/>
          <w:szCs w:val="24"/>
          <w:highlight w:val="none"/>
          <w:u w:val="none"/>
          <w:lang w:val="en-US" w:eastAsia="zh-CN"/>
        </w:rPr>
        <w:t>以电子交易平台生成格式为准。</w:t>
      </w:r>
      <w:bookmarkEnd w:id="256"/>
      <w:bookmarkEnd w:id="257"/>
      <w:bookmarkEnd w:id="258"/>
    </w:p>
    <w:p w14:paraId="069DBB3C">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szCs w:val="21"/>
          <w:highlight w:val="none"/>
        </w:rPr>
      </w:pPr>
      <w:bookmarkStart w:id="259" w:name="_Toc24468"/>
      <w:r>
        <w:rPr>
          <w:rFonts w:hint="eastAsia" w:eastAsia="黑体" w:cs="Times New Roman"/>
          <w:sz w:val="24"/>
          <w:szCs w:val="24"/>
          <w:highlight w:val="none"/>
          <w:u w:val="none"/>
          <w:lang w:val="en-US" w:eastAsia="zh-CN"/>
        </w:rPr>
        <w:t xml:space="preserve"> </w:t>
      </w:r>
      <w:r>
        <w:rPr>
          <w:rFonts w:hint="default" w:ascii="Times New Roman" w:hAnsi="Times New Roman" w:cs="Times New Roman"/>
          <w:szCs w:val="24"/>
          <w:highlight w:val="none"/>
        </w:rPr>
        <w:br w:type="page"/>
      </w:r>
      <w:bookmarkEnd w:id="259"/>
    </w:p>
    <w:p w14:paraId="5F596357">
      <w:pPr>
        <w:pageBreakBefore w:val="0"/>
        <w:kinsoku/>
        <w:wordWrap w:val="0"/>
        <w:bidi w:val="0"/>
        <w:spacing w:line="620" w:lineRule="exact"/>
        <w:ind w:right="630"/>
        <w:jc w:val="center"/>
        <w:rPr>
          <w:rFonts w:hint="default" w:ascii="Times New Roman" w:hAnsi="Times New Roman" w:cs="Times New Roman"/>
          <w:szCs w:val="21"/>
          <w:highlight w:val="none"/>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1035CBB4">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60" w:name="_Toc234832926"/>
      <w:bookmarkStart w:id="261" w:name="_Toc3403"/>
      <w:bookmarkStart w:id="262" w:name="_Toc14944"/>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问题澄清通知</w:t>
      </w:r>
      <w:bookmarkEnd w:id="260"/>
      <w:bookmarkEnd w:id="261"/>
      <w:bookmarkEnd w:id="262"/>
    </w:p>
    <w:p w14:paraId="4FA4F8F7">
      <w:pPr>
        <w:pageBreakBefore w:val="0"/>
        <w:kinsoku/>
        <w:wordWrap w:val="0"/>
        <w:bidi w:val="0"/>
        <w:spacing w:line="440" w:lineRule="exact"/>
        <w:jc w:val="center"/>
        <w:rPr>
          <w:rFonts w:hint="default" w:ascii="Times New Roman" w:hAnsi="Times New Roman" w:cs="Times New Roman"/>
          <w:sz w:val="28"/>
          <w:szCs w:val="28"/>
          <w:highlight w:val="none"/>
        </w:rPr>
      </w:pPr>
    </w:p>
    <w:p w14:paraId="3E83211C">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问题澄清通知</w:t>
      </w:r>
    </w:p>
    <w:p w14:paraId="30139D5A">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48A2AFD">
      <w:pPr>
        <w:pageBreakBefore w:val="0"/>
        <w:kinsoku/>
        <w:wordWrap w:val="0"/>
        <w:bidi w:val="0"/>
        <w:spacing w:line="440" w:lineRule="exact"/>
        <w:rPr>
          <w:rFonts w:hint="default" w:ascii="Times New Roman" w:hAnsi="Times New Roman" w:cs="Times New Roman"/>
          <w:sz w:val="24"/>
          <w:highlight w:val="none"/>
        </w:rPr>
      </w:pPr>
    </w:p>
    <w:p w14:paraId="7D018593">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w:t>
      </w:r>
    </w:p>
    <w:p w14:paraId="7165FC9C">
      <w:pPr>
        <w:pageBreakBefore w:val="0"/>
        <w:kinsoku/>
        <w:wordWrap w:val="0"/>
        <w:bidi w:val="0"/>
        <w:spacing w:line="440" w:lineRule="exact"/>
        <w:rPr>
          <w:rFonts w:hint="default" w:ascii="Times New Roman" w:hAnsi="Times New Roman" w:cs="Times New Roman"/>
          <w:sz w:val="24"/>
          <w:highlight w:val="none"/>
        </w:rPr>
      </w:pPr>
    </w:p>
    <w:p w14:paraId="0ACA93B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标段施工招标的评标委员会，对你方的投标文件进行了仔细的审查，现需你方对下列问题以书面形式予以澄清或说明：</w:t>
      </w:r>
    </w:p>
    <w:p w14:paraId="6AE5E96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3911AD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w:t>
      </w:r>
    </w:p>
    <w:p w14:paraId="063B77C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w:t>
      </w:r>
    </w:p>
    <w:p w14:paraId="5767465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   </w:t>
      </w:r>
    </w:p>
    <w:p w14:paraId="308AEE3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C73112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请将上述问题的澄清或说明于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w:t>
      </w:r>
      <w:r>
        <w:rPr>
          <w:rFonts w:hint="default" w:ascii="Times New Roman" w:hAnsi="Times New Roman" w:cs="Times New Roman"/>
          <w:sz w:val="24"/>
          <w:highlight w:val="none"/>
        </w:rPr>
        <w:t>或传真至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（传真号码）或</w:t>
      </w:r>
      <w:r>
        <w:rPr>
          <w:rFonts w:hint="default" w:ascii="Times New Roman" w:hAnsi="Times New Roman" w:cs="Times New Roman"/>
          <w:sz w:val="24"/>
          <w:highlight w:val="none"/>
          <w:lang w:val="en-US" w:eastAsia="zh-CN"/>
        </w:rPr>
        <w:t>发送至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邮箱地址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通过</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电子招标交易平台</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上传。采用传真</w:t>
      </w:r>
      <w:r>
        <w:rPr>
          <w:rFonts w:hint="default" w:ascii="Times New Roman" w:hAnsi="Times New Roman" w:cs="Times New Roman"/>
          <w:sz w:val="24"/>
          <w:highlight w:val="none"/>
          <w:lang w:val="en-US" w:eastAsia="zh-CN"/>
        </w:rPr>
        <w:t>或邮件</w:t>
      </w:r>
      <w:r>
        <w:rPr>
          <w:rFonts w:hint="default" w:ascii="Times New Roman" w:hAnsi="Times New Roman" w:cs="Times New Roman"/>
          <w:sz w:val="24"/>
          <w:highlight w:val="none"/>
        </w:rPr>
        <w:t>方式的，应在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分前将原件递交至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w:t>
      </w:r>
    </w:p>
    <w:p w14:paraId="7CD68D44">
      <w:pPr>
        <w:pageBreakBefore w:val="0"/>
        <w:kinsoku/>
        <w:wordWrap w:val="0"/>
        <w:bidi w:val="0"/>
        <w:spacing w:line="440" w:lineRule="exact"/>
        <w:rPr>
          <w:rFonts w:hint="default" w:ascii="Times New Roman" w:hAnsi="Times New Roman" w:cs="Times New Roman"/>
          <w:sz w:val="24"/>
          <w:highlight w:val="none"/>
        </w:rPr>
      </w:pPr>
    </w:p>
    <w:p w14:paraId="53E2F756">
      <w:pPr>
        <w:pageBreakBefore w:val="0"/>
        <w:kinsoku/>
        <w:wordWrap w:val="0"/>
        <w:bidi w:val="0"/>
        <w:spacing w:line="440" w:lineRule="exact"/>
        <w:rPr>
          <w:rFonts w:hint="default" w:ascii="Times New Roman" w:hAnsi="Times New Roman" w:cs="Times New Roman"/>
          <w:sz w:val="24"/>
          <w:highlight w:val="none"/>
        </w:rPr>
      </w:pPr>
    </w:p>
    <w:p w14:paraId="5AE5E1F4">
      <w:pPr>
        <w:pageBreakBefore w:val="0"/>
        <w:kinsoku/>
        <w:wordWrap w:val="0"/>
        <w:bidi w:val="0"/>
        <w:spacing w:line="440" w:lineRule="exact"/>
        <w:jc w:val="right"/>
        <w:rPr>
          <w:rFonts w:hint="default" w:ascii="Times New Roman" w:hAnsi="Times New Roman" w:cs="Times New Roman"/>
          <w:sz w:val="24"/>
          <w:highlight w:val="none"/>
          <w:u w:val="single"/>
        </w:rPr>
      </w:pPr>
      <w:r>
        <w:rPr>
          <w:rFonts w:hint="default" w:ascii="Times New Roman" w:hAnsi="Times New Roman" w:cs="Times New Roman"/>
          <w:sz w:val="24"/>
          <w:highlight w:val="none"/>
        </w:rPr>
        <w:t>评标委员会授权的招标人或招标代理机构：</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（签字或盖单位章）</w:t>
      </w:r>
    </w:p>
    <w:p w14:paraId="7C6A72D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5AFE4238">
      <w:pPr>
        <w:pageBreakBefore w:val="0"/>
        <w:kinsoku/>
        <w:wordWrap w:val="0"/>
        <w:bidi w:val="0"/>
        <w:spacing w:line="440" w:lineRule="exact"/>
        <w:ind w:right="480"/>
        <w:jc w:val="cente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46B9828">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263" w:name="_Toc234832927"/>
      <w:bookmarkStart w:id="264" w:name="_Toc6756"/>
      <w:bookmarkStart w:id="265" w:name="_Toc22942"/>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问题的澄清</w:t>
      </w:r>
      <w:bookmarkEnd w:id="263"/>
      <w:bookmarkEnd w:id="264"/>
      <w:bookmarkEnd w:id="265"/>
    </w:p>
    <w:p w14:paraId="5A26F8E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问题的澄清</w:t>
      </w:r>
    </w:p>
    <w:p w14:paraId="2367EC04">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37D00AD">
      <w:pPr>
        <w:pageBreakBefore w:val="0"/>
        <w:kinsoku/>
        <w:wordWrap w:val="0"/>
        <w:bidi w:val="0"/>
        <w:spacing w:line="440" w:lineRule="exact"/>
        <w:rPr>
          <w:rFonts w:hint="default" w:ascii="Times New Roman" w:hAnsi="Times New Roman" w:cs="Times New Roman"/>
          <w:sz w:val="24"/>
          <w:highlight w:val="none"/>
        </w:rPr>
      </w:pPr>
    </w:p>
    <w:p w14:paraId="3DF35D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标段施工招标评标委员会：</w:t>
      </w:r>
    </w:p>
    <w:p w14:paraId="23CCCD76">
      <w:pPr>
        <w:pageBreakBefore w:val="0"/>
        <w:kinsoku/>
        <w:wordWrap w:val="0"/>
        <w:bidi w:val="0"/>
        <w:spacing w:line="440" w:lineRule="exact"/>
        <w:rPr>
          <w:rFonts w:hint="default" w:ascii="Times New Roman" w:hAnsi="Times New Roman" w:cs="Times New Roman"/>
          <w:sz w:val="24"/>
          <w:highlight w:val="none"/>
        </w:rPr>
      </w:pPr>
    </w:p>
    <w:p w14:paraId="3E26E29C">
      <w:pPr>
        <w:pageBreakBefore w:val="0"/>
        <w:kinsoku/>
        <w:wordWrap w:val="0"/>
        <w:bidi w:val="0"/>
        <w:spacing w:line="440" w:lineRule="exact"/>
        <w:rPr>
          <w:rFonts w:hint="default" w:ascii="Times New Roman" w:hAnsi="Times New Roman" w:cs="Times New Roman"/>
          <w:sz w:val="24"/>
          <w:highlight w:val="none"/>
        </w:rPr>
      </w:pPr>
    </w:p>
    <w:p w14:paraId="7CEEF80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问题澄清通知（编号：</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）已收悉，现澄清、说明如下：</w:t>
      </w:r>
    </w:p>
    <w:p w14:paraId="4498A7B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1.</w:t>
      </w:r>
    </w:p>
    <w:p w14:paraId="2CC75B7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2.</w:t>
      </w:r>
    </w:p>
    <w:p w14:paraId="539381A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3668EB1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B37B8E7">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19E3B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940958C">
      <w:pPr>
        <w:pageBreakBefore w:val="0"/>
        <w:kinsoku/>
        <w:wordWrap w:val="0"/>
        <w:bidi w:val="0"/>
        <w:spacing w:line="440" w:lineRule="exact"/>
        <w:rPr>
          <w:rFonts w:hint="default" w:ascii="Times New Roman" w:hAnsi="Times New Roman" w:cs="Times New Roman"/>
          <w:sz w:val="24"/>
          <w:highlight w:val="none"/>
        </w:rPr>
      </w:pPr>
    </w:p>
    <w:p w14:paraId="5379DB18">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上述问题澄清或说明，不改变我方投标文件的实质性内容，构成我方投标文件的组成部分。</w:t>
      </w:r>
    </w:p>
    <w:p w14:paraId="529D8D66">
      <w:pPr>
        <w:pageBreakBefore w:val="0"/>
        <w:kinsoku/>
        <w:wordWrap w:val="0"/>
        <w:bidi w:val="0"/>
        <w:spacing w:line="440" w:lineRule="exact"/>
        <w:rPr>
          <w:rFonts w:hint="default" w:ascii="Times New Roman" w:hAnsi="Times New Roman" w:cs="Times New Roman"/>
          <w:sz w:val="24"/>
          <w:highlight w:val="none"/>
        </w:rPr>
      </w:pPr>
    </w:p>
    <w:p w14:paraId="7BA9CC08">
      <w:pPr>
        <w:pageBreakBefore w:val="0"/>
        <w:kinsoku/>
        <w:wordWrap w:val="0"/>
        <w:bidi w:val="0"/>
        <w:spacing w:line="440" w:lineRule="exact"/>
        <w:rPr>
          <w:rFonts w:hint="default" w:ascii="Times New Roman" w:hAnsi="Times New Roman" w:cs="Times New Roman"/>
          <w:sz w:val="24"/>
          <w:highlight w:val="none"/>
        </w:rPr>
      </w:pPr>
    </w:p>
    <w:p w14:paraId="5E93C34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vertAlign w:val="superscript"/>
        </w:rPr>
        <w:footnoteReference w:id="21"/>
      </w:r>
    </w:p>
    <w:p w14:paraId="24513A0C">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F76DDA0">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442E6472">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0"/>
          <w:szCs w:val="20"/>
          <w:highlight w:val="none"/>
        </w:rPr>
        <w:br w:type="page"/>
      </w:r>
      <w:bookmarkStart w:id="266" w:name="_Toc15693"/>
      <w:bookmarkStart w:id="267" w:name="_Toc23863"/>
      <w:bookmarkStart w:id="268" w:name="_Toc234832928"/>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中标通知书</w:t>
      </w:r>
      <w:bookmarkEnd w:id="266"/>
      <w:bookmarkEnd w:id="267"/>
      <w:bookmarkEnd w:id="268"/>
    </w:p>
    <w:p w14:paraId="187AB876">
      <w:pPr>
        <w:pageBreakBefore w:val="0"/>
        <w:kinsoku/>
        <w:wordWrap w:val="0"/>
        <w:bidi w:val="0"/>
        <w:spacing w:line="440" w:lineRule="exact"/>
        <w:ind w:firstLine="3640" w:firstLineChars="1300"/>
        <w:rPr>
          <w:rFonts w:hint="default" w:ascii="Times New Roman" w:hAnsi="Times New Roman" w:eastAsia="黑体" w:cs="Times New Roman"/>
          <w:sz w:val="28"/>
          <w:szCs w:val="28"/>
          <w:highlight w:val="none"/>
        </w:rPr>
      </w:pPr>
    </w:p>
    <w:p w14:paraId="47514EFD">
      <w:pPr>
        <w:pageBreakBefore w:val="0"/>
        <w:kinsoku/>
        <w:wordWrap w:val="0"/>
        <w:bidi w:val="0"/>
        <w:spacing w:line="600" w:lineRule="exact"/>
        <w:ind w:firstLine="0" w:firstLineChars="0"/>
        <w:rPr>
          <w:rFonts w:hint="default" w:ascii="Times New Roman" w:hAnsi="Times New Roman" w:cs="Times New Roman"/>
          <w:sz w:val="24"/>
          <w:highlight w:val="none"/>
        </w:rPr>
      </w:pPr>
      <w:r>
        <w:rPr>
          <w:rFonts w:hint="default" w:cs="Times New Roman"/>
          <w:sz w:val="24"/>
          <w:szCs w:val="24"/>
          <w:highlight w:val="none"/>
          <w:u w:val="none"/>
          <w:lang w:val="en-US" w:eastAsia="zh-CN"/>
        </w:rPr>
        <w:t>以辽宁省招标投标监管网生成格式为准（如有）。</w:t>
      </w:r>
    </w:p>
    <w:p w14:paraId="3D25A5BE">
      <w:pPr>
        <w:pageBreakBefore w:val="0"/>
        <w:kinsoku/>
        <w:wordWrap w:val="0"/>
        <w:bidi w:val="0"/>
        <w:spacing w:line="440" w:lineRule="exact"/>
        <w:rPr>
          <w:rFonts w:hint="default" w:ascii="Times New Roman" w:hAnsi="Times New Roman" w:eastAsia="黑体" w:cs="Times New Roman"/>
          <w:sz w:val="24"/>
          <w:highlight w:val="none"/>
        </w:rPr>
      </w:pPr>
    </w:p>
    <w:p w14:paraId="107EBD1E">
      <w:pPr>
        <w:pageBreakBefore w:val="0"/>
        <w:kinsoku/>
        <w:wordWrap w:val="0"/>
        <w:bidi w:val="0"/>
        <w:spacing w:line="440" w:lineRule="exact"/>
        <w:rPr>
          <w:rFonts w:hint="default" w:ascii="Times New Roman" w:hAnsi="Times New Roman" w:cs="Times New Roman"/>
          <w:sz w:val="20"/>
          <w:szCs w:val="20"/>
          <w:highlight w:val="none"/>
        </w:rPr>
      </w:pPr>
    </w:p>
    <w:p w14:paraId="0E0C2FEC">
      <w:pPr>
        <w:pageBreakBefore w:val="0"/>
        <w:kinsoku/>
        <w:wordWrap w:val="0"/>
        <w:bidi w:val="0"/>
        <w:spacing w:line="440" w:lineRule="exact"/>
        <w:rPr>
          <w:rFonts w:hint="default" w:ascii="Times New Roman" w:hAnsi="Times New Roman" w:cs="Times New Roman"/>
          <w:sz w:val="20"/>
          <w:szCs w:val="20"/>
          <w:highlight w:val="none"/>
        </w:rPr>
      </w:pPr>
    </w:p>
    <w:p w14:paraId="09E41444">
      <w:pPr>
        <w:pageBreakBefore w:val="0"/>
        <w:kinsoku/>
        <w:wordWrap w:val="0"/>
        <w:bidi w:val="0"/>
        <w:spacing w:line="440" w:lineRule="exact"/>
        <w:rPr>
          <w:rFonts w:hint="default" w:ascii="Times New Roman" w:hAnsi="Times New Roman" w:cs="Times New Roman"/>
          <w:sz w:val="20"/>
          <w:szCs w:val="20"/>
          <w:highlight w:val="none"/>
        </w:rPr>
      </w:pPr>
    </w:p>
    <w:p w14:paraId="6723C729">
      <w:pPr>
        <w:pageBreakBefore w:val="0"/>
        <w:kinsoku/>
        <w:wordWrap w:val="0"/>
        <w:bidi w:val="0"/>
        <w:spacing w:line="440" w:lineRule="exact"/>
        <w:rPr>
          <w:rFonts w:hint="default" w:ascii="Times New Roman" w:hAnsi="Times New Roman" w:cs="Times New Roman"/>
          <w:sz w:val="20"/>
          <w:szCs w:val="20"/>
          <w:highlight w:val="none"/>
        </w:rPr>
      </w:pPr>
    </w:p>
    <w:p w14:paraId="7881F743">
      <w:pPr>
        <w:pageBreakBefore w:val="0"/>
        <w:kinsoku/>
        <w:wordWrap w:val="0"/>
        <w:bidi w:val="0"/>
        <w:spacing w:line="440" w:lineRule="exact"/>
        <w:rPr>
          <w:rFonts w:hint="default" w:ascii="Times New Roman" w:hAnsi="Times New Roman" w:cs="Times New Roman"/>
          <w:sz w:val="20"/>
          <w:szCs w:val="20"/>
          <w:highlight w:val="none"/>
        </w:rPr>
      </w:pPr>
    </w:p>
    <w:p w14:paraId="43339BBD">
      <w:pPr>
        <w:pageBreakBefore w:val="0"/>
        <w:kinsoku/>
        <w:wordWrap w:val="0"/>
        <w:bidi w:val="0"/>
        <w:spacing w:line="440" w:lineRule="exact"/>
        <w:rPr>
          <w:rFonts w:hint="default" w:ascii="Times New Roman" w:hAnsi="Times New Roman" w:cs="Times New Roman"/>
          <w:sz w:val="20"/>
          <w:szCs w:val="20"/>
          <w:highlight w:val="none"/>
        </w:rPr>
      </w:pPr>
    </w:p>
    <w:p w14:paraId="5DB882D1">
      <w:pPr>
        <w:pageBreakBefore w:val="0"/>
        <w:kinsoku/>
        <w:wordWrap w:val="0"/>
        <w:bidi w:val="0"/>
        <w:spacing w:before="0" w:after="0" w:line="240" w:lineRule="atLeast"/>
        <w:rPr>
          <w:rFonts w:hint="default" w:ascii="Times New Roman" w:hAnsi="Times New Roman" w:eastAsia="黑体" w:cs="Times New Roman"/>
          <w:b w:val="0"/>
          <w:sz w:val="24"/>
          <w:szCs w:val="24"/>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69" w:name="_Toc234832929"/>
    </w:p>
    <w:bookmarkEnd w:id="269"/>
    <w:p w14:paraId="4ABB4514">
      <w:pPr>
        <w:pageBreakBefore w:val="0"/>
        <w:kinsoku/>
        <w:wordWrap w:val="0"/>
        <w:bidi w:val="0"/>
        <w:spacing w:line="240" w:lineRule="atLeast"/>
        <w:rPr>
          <w:rFonts w:hint="default" w:ascii="Times New Roman" w:hAnsi="Times New Roman" w:cs="Times New Roman"/>
          <w:sz w:val="24"/>
          <w:highlight w:val="none"/>
        </w:rPr>
      </w:pPr>
    </w:p>
    <w:p w14:paraId="208660F1">
      <w:pPr>
        <w:pageBreakBefore w:val="0"/>
        <w:kinsoku/>
        <w:wordWrap w:val="0"/>
        <w:bidi w:val="0"/>
        <w:spacing w:line="440" w:lineRule="exact"/>
        <w:rPr>
          <w:rFonts w:hint="default" w:ascii="Times New Roman" w:hAnsi="Times New Roman" w:eastAsia="黑体" w:cs="Times New Roman"/>
          <w:sz w:val="20"/>
          <w:szCs w:val="20"/>
          <w:highlight w:val="none"/>
        </w:rPr>
      </w:pPr>
    </w:p>
    <w:p w14:paraId="374C3B3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E871935">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5F12FF12">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278059D">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1822C7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70CB955C">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4ED8D00">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D80C3C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A26D1A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DB4D039">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EFEC084">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第三章  评标办法</w:t>
      </w:r>
    </w:p>
    <w:p w14:paraId="094E5C10">
      <w:pPr>
        <w:pStyle w:val="2"/>
        <w:pageBreakBefore w:val="0"/>
        <w:kinsoku/>
        <w:wordWrap w:val="0"/>
        <w:bidi w:val="0"/>
        <w:spacing w:before="0" w:after="120" w:afterLines="50" w:line="240" w:lineRule="atLeast"/>
        <w:jc w:val="center"/>
        <w:rPr>
          <w:rFonts w:hint="default" w:ascii="Times New Roman" w:hAnsi="Times New Roman" w:eastAsia="黑体" w:cs="Times New Roman"/>
          <w:sz w:val="36"/>
          <w:szCs w:val="36"/>
          <w:highlight w:val="none"/>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7F462FD1">
      <w:pPr>
        <w:spacing w:line="400" w:lineRule="atLeast"/>
        <w:ind w:firstLine="480" w:firstLineChars="200"/>
        <w:rPr>
          <w:rFonts w:hint="default" w:ascii="Times New Roman" w:hAnsi="Times New Roman" w:eastAsia="宋体" w:cs="Times New Roman"/>
          <w:sz w:val="24"/>
          <w:highlight w:val="none"/>
        </w:rPr>
      </w:pPr>
      <w:bookmarkStart w:id="270" w:name="_Toc234832931"/>
    </w:p>
    <w:p w14:paraId="45C133AD">
      <w:pPr>
        <w:pStyle w:val="2"/>
        <w:pageBreakBefore w:val="0"/>
        <w:kinsoku/>
        <w:wordWrap w:val="0"/>
        <w:bidi w:val="0"/>
        <w:spacing w:before="0" w:after="120" w:afterLines="50" w:line="240" w:lineRule="atLeast"/>
        <w:jc w:val="center"/>
        <w:rPr>
          <w:rFonts w:hint="default" w:ascii="Times New Roman" w:hAnsi="Times New Roman" w:eastAsia="黑体" w:cs="Times New Roman"/>
          <w:b w:val="0"/>
          <w:sz w:val="42"/>
          <w:szCs w:val="42"/>
          <w:highlight w:val="none"/>
        </w:rPr>
      </w:pPr>
      <w:bookmarkStart w:id="271" w:name="_Toc2246"/>
      <w:bookmarkStart w:id="272" w:name="_Toc14682"/>
      <w:r>
        <w:rPr>
          <w:rFonts w:hint="default" w:ascii="Times New Roman" w:hAnsi="Times New Roman" w:eastAsia="黑体" w:cs="Times New Roman"/>
          <w:b w:val="0"/>
          <w:sz w:val="42"/>
          <w:szCs w:val="42"/>
          <w:highlight w:val="none"/>
        </w:rPr>
        <w:t>第三章  评标办法（合理低价法）</w:t>
      </w:r>
      <w:r>
        <w:rPr>
          <w:rStyle w:val="48"/>
          <w:rFonts w:hint="default" w:ascii="Times New Roman" w:hAnsi="Times New Roman" w:eastAsia="黑体" w:cs="Times New Roman"/>
          <w:sz w:val="42"/>
          <w:szCs w:val="42"/>
          <w:highlight w:val="none"/>
        </w:rPr>
        <w:footnoteReference w:id="22"/>
      </w:r>
      <w:bookmarkEnd w:id="270"/>
      <w:bookmarkEnd w:id="271"/>
      <w:bookmarkEnd w:id="272"/>
    </w:p>
    <w:p w14:paraId="5BDAFB3D">
      <w:pPr>
        <w:pageBreakBefore w:val="0"/>
        <w:kinsoku/>
        <w:wordWrap w:val="0"/>
        <w:bidi w:val="0"/>
        <w:spacing w:line="420" w:lineRule="atLeast"/>
        <w:rPr>
          <w:rFonts w:hint="default" w:ascii="Times New Roman" w:hAnsi="Times New Roman" w:eastAsia="黑体" w:cs="Times New Roman"/>
          <w:sz w:val="20"/>
          <w:szCs w:val="20"/>
          <w:highlight w:val="none"/>
        </w:rPr>
      </w:pPr>
    </w:p>
    <w:p w14:paraId="0283AF92">
      <w:pPr>
        <w:pStyle w:val="2"/>
        <w:pageBreakBefore w:val="0"/>
        <w:kinsoku/>
        <w:wordWrap w:val="0"/>
        <w:bidi w:val="0"/>
        <w:spacing w:before="0" w:after="0" w:line="240" w:lineRule="atLeast"/>
        <w:rPr>
          <w:rFonts w:hint="default" w:ascii="Times New Roman" w:hAnsi="Times New Roman" w:eastAsia="黑体" w:cs="Times New Roman"/>
          <w:b w:val="0"/>
          <w:sz w:val="28"/>
          <w:szCs w:val="28"/>
          <w:highlight w:val="none"/>
        </w:rPr>
      </w:pPr>
      <w:bookmarkStart w:id="273" w:name="_Toc234832932"/>
      <w:bookmarkStart w:id="274" w:name="_Toc17606"/>
      <w:bookmarkStart w:id="275" w:name="_Toc308"/>
      <w:r>
        <w:rPr>
          <w:rFonts w:hint="default" w:ascii="Times New Roman" w:hAnsi="Times New Roman" w:eastAsia="黑体" w:cs="Times New Roman"/>
          <w:b w:val="0"/>
          <w:sz w:val="24"/>
          <w:szCs w:val="24"/>
          <w:highlight w:val="none"/>
        </w:rPr>
        <w:t>评标办法前附表</w:t>
      </w:r>
      <w:r>
        <w:rPr>
          <w:rFonts w:hint="default" w:ascii="Times New Roman" w:hAnsi="Times New Roman" w:eastAsia="黑体" w:cs="Times New Roman"/>
          <w:b w:val="0"/>
          <w:sz w:val="28"/>
          <w:szCs w:val="28"/>
          <w:highlight w:val="none"/>
        </w:rPr>
        <w:t xml:space="preserve"> </w:t>
      </w:r>
      <w:r>
        <w:rPr>
          <w:rStyle w:val="48"/>
          <w:rFonts w:hint="default" w:ascii="Times New Roman" w:hAnsi="Times New Roman" w:cs="Times New Roman"/>
          <w:sz w:val="28"/>
          <w:szCs w:val="28"/>
          <w:highlight w:val="none"/>
        </w:rPr>
        <w:footnoteReference w:id="23"/>
      </w:r>
      <w:bookmarkEnd w:id="273"/>
      <w:bookmarkEnd w:id="274"/>
      <w:bookmarkEnd w:id="275"/>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67FF31C8">
            <w:pPr>
              <w:pStyle w:val="92"/>
              <w:spacing w:before="116" w:line="319" w:lineRule="auto"/>
              <w:ind w:left="107" w:right="103" w:firstLine="423"/>
              <w:rPr>
                <w:sz w:val="21"/>
                <w:szCs w:val="21"/>
                <w:highlight w:val="none"/>
              </w:rPr>
            </w:pPr>
            <w:r>
              <w:rPr>
                <w:spacing w:val="3"/>
                <w:sz w:val="21"/>
                <w:szCs w:val="21"/>
                <w:highlight w:val="none"/>
              </w:rPr>
              <w:t>综合评分相等时，评标委员会依次按照以下优先顺序推荐中标候</w:t>
            </w:r>
            <w:r>
              <w:rPr>
                <w:spacing w:val="-6"/>
                <w:sz w:val="21"/>
                <w:szCs w:val="21"/>
                <w:highlight w:val="none"/>
              </w:rPr>
              <w:t>选人或确定中标人：</w:t>
            </w:r>
          </w:p>
          <w:p w14:paraId="7C2B8ED8">
            <w:pPr>
              <w:pStyle w:val="92"/>
              <w:spacing w:before="154" w:line="219" w:lineRule="auto"/>
              <w:ind w:left="533"/>
              <w:rPr>
                <w:sz w:val="21"/>
                <w:szCs w:val="21"/>
                <w:highlight w:val="none"/>
              </w:rPr>
            </w:pPr>
            <w:r>
              <w:rPr>
                <w:spacing w:val="-5"/>
                <w:sz w:val="21"/>
                <w:szCs w:val="21"/>
                <w:highlight w:val="none"/>
              </w:rPr>
              <w:t>（</w:t>
            </w:r>
            <w:r>
              <w:rPr>
                <w:rFonts w:ascii="Times New Roman" w:hAnsi="Times New Roman" w:eastAsia="Times New Roman" w:cs="Times New Roman"/>
                <w:spacing w:val="-5"/>
                <w:sz w:val="21"/>
                <w:szCs w:val="21"/>
                <w:highlight w:val="none"/>
              </w:rPr>
              <w:t>1</w:t>
            </w:r>
            <w:r>
              <w:rPr>
                <w:spacing w:val="-5"/>
                <w:sz w:val="21"/>
                <w:szCs w:val="21"/>
                <w:highlight w:val="none"/>
              </w:rPr>
              <w:t>）评标价低的投标人优先；</w:t>
            </w:r>
          </w:p>
          <w:p w14:paraId="51CEB718">
            <w:pPr>
              <w:spacing w:before="154" w:line="369" w:lineRule="auto"/>
              <w:ind w:left="103" w:right="96" w:firstLine="437"/>
              <w:rPr>
                <w:spacing w:val="-3"/>
                <w:sz w:val="21"/>
                <w:szCs w:val="21"/>
                <w:highlight w:val="none"/>
              </w:rPr>
            </w:pPr>
            <w:r>
              <w:rPr>
                <w:spacing w:val="-3"/>
                <w:sz w:val="21"/>
                <w:szCs w:val="21"/>
                <w:highlight w:val="none"/>
              </w:rPr>
              <w:t>（</w:t>
            </w:r>
            <w:r>
              <w:rPr>
                <w:rFonts w:ascii="Times New Roman" w:hAnsi="Times New Roman" w:eastAsia="Times New Roman" w:cs="Times New Roman"/>
                <w:spacing w:val="-3"/>
                <w:sz w:val="21"/>
                <w:szCs w:val="21"/>
                <w:highlight w:val="none"/>
              </w:rPr>
              <w:t>2</w:t>
            </w:r>
            <w:r>
              <w:rPr>
                <w:spacing w:val="-3"/>
                <w:sz w:val="21"/>
                <w:szCs w:val="21"/>
                <w:highlight w:val="none"/>
              </w:rPr>
              <w:t>）被辽宁省交通运输厅评为较高信用等级的投标人优先；</w:t>
            </w:r>
          </w:p>
          <w:p w14:paraId="4E9EBB54">
            <w:pPr>
              <w:spacing w:before="154" w:line="369" w:lineRule="auto"/>
              <w:ind w:left="103" w:right="96" w:firstLine="437"/>
              <w:rPr>
                <w:rFonts w:ascii="宋体" w:hAnsi="宋体" w:eastAsia="宋体" w:cs="宋体"/>
                <w:spacing w:val="6"/>
                <w:sz w:val="20"/>
                <w:szCs w:val="20"/>
                <w:highlight w:val="none"/>
              </w:rPr>
            </w:pPr>
            <w:r>
              <w:rPr>
                <w:rFonts w:hint="eastAsia"/>
                <w:spacing w:val="-3"/>
                <w:sz w:val="21"/>
                <w:szCs w:val="21"/>
                <w:highlight w:val="none"/>
                <w:lang w:eastAsia="zh-CN"/>
              </w:rPr>
              <w:t>（</w:t>
            </w:r>
            <w:r>
              <w:rPr>
                <w:rFonts w:hint="eastAsia"/>
                <w:spacing w:val="-3"/>
                <w:sz w:val="21"/>
                <w:szCs w:val="21"/>
                <w:highlight w:val="none"/>
                <w:lang w:val="en-US" w:eastAsia="zh-CN"/>
              </w:rPr>
              <w:t>3</w:t>
            </w:r>
            <w:r>
              <w:rPr>
                <w:rFonts w:hint="eastAsia"/>
                <w:spacing w:val="-3"/>
                <w:sz w:val="21"/>
                <w:szCs w:val="21"/>
                <w:highlight w:val="none"/>
                <w:lang w:eastAsia="zh-CN"/>
              </w:rPr>
              <w:t>）</w:t>
            </w: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下进行，未通过第一个信封初步评审投标人的第二个信封原封退回，不参与第二个信封的开标。评标委员会对投标文件第二个信封进行形式和响应性评审，并按照本章第 2.2 款规定的评分标准 进行评分，然后按评标价得分由高到低顺序推荐中标候选人，但投标报价低于其成本的除外。</w:t>
            </w:r>
          </w:p>
          <w:p w14:paraId="02D2BB8A">
            <w:pPr>
              <w:spacing w:before="154" w:line="369" w:lineRule="auto"/>
              <w:ind w:left="103" w:right="96" w:firstLine="437"/>
              <w:rPr>
                <w:rFonts w:hint="eastAsia" w:ascii="宋体" w:hAnsi="宋体" w:eastAsia="宋体" w:cs="宋体"/>
                <w:spacing w:val="6"/>
                <w:sz w:val="20"/>
                <w:szCs w:val="20"/>
                <w:highlight w:val="none"/>
              </w:rPr>
            </w:pPr>
            <w:r>
              <w:rPr>
                <w:rFonts w:ascii="宋体" w:hAnsi="宋体" w:eastAsia="宋体" w:cs="宋体"/>
                <w:spacing w:val="6"/>
                <w:sz w:val="20"/>
                <w:szCs w:val="20"/>
                <w:highlight w:val="none"/>
              </w:rPr>
              <w:t xml:space="preserve">1.2 </w:t>
            </w:r>
            <w:r>
              <w:rPr>
                <w:rFonts w:hint="eastAsia" w:ascii="宋体" w:hAnsi="宋体" w:eastAsia="宋体" w:cs="宋体"/>
                <w:spacing w:val="6"/>
                <w:sz w:val="20"/>
                <w:szCs w:val="20"/>
                <w:highlight w:val="none"/>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43E05067">
            <w:pPr>
              <w:spacing w:before="154" w:line="369" w:lineRule="auto"/>
              <w:ind w:left="103" w:right="96" w:firstLine="437"/>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当两家及以上投标人在标段中的评标价得分相等且评标价也相等时，若各投标人工程量清单子目单价不尽相同时，则由评标委员会根据施工组织设计的编制情况投票确定其推荐顺序。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7AF7BE4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d.若投标保证金采用电子保函形式提交，投标人应在投标文件中提供电子保函的原件扫描件、电子化保函验真渠道和从投标人基本账户支出的保函财务费用支付凭证。</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（13）投标人上传投标文件的标段数量满足第一章“招标公告 ”第 3.3 款规定，投标函上填写的标段号与上传的对应项目标段号一致。</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（6）投标人若填写工程量固化清单，填写完毕的工程量固化清单未对工程量固化清单电子文件中的数据、格式和运算定义进行修改；工程量固化清单中的投标报价和投标函大写金额报价一致。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4"/>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48"/>
                <w:rFonts w:hint="default" w:ascii="Times New Roman" w:hAnsi="Times New Roman" w:cs="Times New Roman"/>
                <w:highlight w:val="none"/>
              </w:rPr>
              <w:footnoteReference w:id="25"/>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、投标报价超出招标人公布的最高投标限价，或低于招标人公布的最高投标限价的</w:t>
            </w:r>
            <w:r>
              <w:rPr>
                <w:rFonts w:hint="eastAsia"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u w:val="single"/>
                <w:lang w:bidi="ar"/>
              </w:rPr>
              <w:t xml:space="preserve"> </w:t>
            </w:r>
            <w:r>
              <w:rPr>
                <w:rFonts w:hint="eastAsia" w:cs="Times New Roman"/>
                <w:color w:val="000000"/>
                <w:kern w:val="0"/>
                <w:szCs w:val="21"/>
                <w:highlight w:val="none"/>
                <w:u w:val="single"/>
                <w:lang w:val="en-US" w:eastAsia="zh-CN" w:bidi="ar"/>
              </w:rPr>
              <w:t>90</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170C4FCF">
            <w:pPr>
              <w:pStyle w:val="92"/>
              <w:spacing w:before="157" w:line="219" w:lineRule="auto"/>
              <w:ind w:left="534"/>
              <w:rPr>
                <w:rFonts w:ascii="Times New Roman" w:hAnsi="Times New Roman" w:eastAsia="Times New Roman" w:cs="Times New Roman"/>
                <w:sz w:val="21"/>
                <w:szCs w:val="21"/>
                <w:highlight w:val="none"/>
              </w:rPr>
            </w:pPr>
            <w:r>
              <w:rPr>
                <w:b/>
                <w:bCs/>
                <w:spacing w:val="-2"/>
                <w:sz w:val="21"/>
                <w:szCs w:val="21"/>
                <w:highlight w:val="none"/>
              </w:rPr>
              <w:t>二、评标价平均值（</w:t>
            </w:r>
            <w:r>
              <w:rPr>
                <w:rFonts w:ascii="Times New Roman" w:hAnsi="Times New Roman" w:eastAsia="Times New Roman" w:cs="Times New Roman"/>
                <w:b/>
                <w:bCs/>
                <w:spacing w:val="-2"/>
                <w:sz w:val="21"/>
                <w:szCs w:val="21"/>
                <w:highlight w:val="none"/>
              </w:rPr>
              <w:t>B</w:t>
            </w:r>
            <w:r>
              <w:rPr>
                <w:b/>
                <w:bCs/>
                <w:spacing w:val="-2"/>
                <w:sz w:val="21"/>
                <w:szCs w:val="21"/>
                <w:highlight w:val="none"/>
              </w:rPr>
              <w:t>）计算方法</w:t>
            </w:r>
            <w:r>
              <w:rPr>
                <w:spacing w:val="-38"/>
                <w:sz w:val="21"/>
                <w:szCs w:val="21"/>
                <w:highlight w:val="none"/>
              </w:rPr>
              <w:t xml:space="preserve"> </w:t>
            </w:r>
            <w:r>
              <w:rPr>
                <w:rFonts w:ascii="Times New Roman" w:hAnsi="Times New Roman" w:eastAsia="Times New Roman" w:cs="Times New Roman"/>
                <w:b/>
                <w:bCs/>
                <w:spacing w:val="-2"/>
                <w:sz w:val="21"/>
                <w:szCs w:val="21"/>
                <w:highlight w:val="none"/>
              </w:rPr>
              <w:t>1</w:t>
            </w:r>
          </w:p>
          <w:p w14:paraId="490B70C4">
            <w:pPr>
              <w:pStyle w:val="92"/>
              <w:spacing w:before="113" w:line="297" w:lineRule="auto"/>
              <w:ind w:left="111" w:right="89" w:firstLine="419"/>
              <w:rPr>
                <w:sz w:val="21"/>
                <w:szCs w:val="21"/>
                <w:highlight w:val="none"/>
              </w:rPr>
            </w:pPr>
            <w:r>
              <w:rPr>
                <w:rFonts w:ascii="Times New Roman" w:hAnsi="Times New Roman" w:eastAsia="Times New Roman" w:cs="Times New Roman"/>
                <w:spacing w:val="-1"/>
                <w:sz w:val="21"/>
                <w:szCs w:val="21"/>
                <w:highlight w:val="none"/>
              </w:rPr>
              <w:t xml:space="preserve">C </w:t>
            </w:r>
            <w:r>
              <w:rPr>
                <w:spacing w:val="-1"/>
                <w:sz w:val="21"/>
                <w:szCs w:val="21"/>
                <w:highlight w:val="none"/>
              </w:rPr>
              <w:t>为招标人设定的最高投标限价，如果所有评标价均低于</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 xml:space="preserve">%*C </w:t>
            </w:r>
            <w:r>
              <w:rPr>
                <w:spacing w:val="-1"/>
                <w:sz w:val="21"/>
                <w:szCs w:val="21"/>
                <w:highlight w:val="none"/>
              </w:rPr>
              <w:t>值（最高投标限价的</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w:t>
            </w:r>
            <w:r>
              <w:rPr>
                <w:spacing w:val="-17"/>
                <w:sz w:val="21"/>
                <w:szCs w:val="21"/>
                <w:highlight w:val="none"/>
              </w:rPr>
              <w:t>），</w:t>
            </w:r>
            <w:r>
              <w:rPr>
                <w:spacing w:val="-4"/>
                <w:sz w:val="21"/>
                <w:szCs w:val="21"/>
                <w:highlight w:val="none"/>
              </w:rPr>
              <w:t>则评标价平均值（</w:t>
            </w:r>
            <w:r>
              <w:rPr>
                <w:rFonts w:ascii="Times New Roman" w:hAnsi="Times New Roman" w:eastAsia="Times New Roman" w:cs="Times New Roman"/>
                <w:spacing w:val="-4"/>
                <w:sz w:val="21"/>
                <w:szCs w:val="21"/>
                <w:highlight w:val="none"/>
              </w:rPr>
              <w:t>B</w:t>
            </w:r>
            <w:r>
              <w:rPr>
                <w:spacing w:val="-4"/>
                <w:sz w:val="21"/>
                <w:szCs w:val="21"/>
                <w:highlight w:val="none"/>
              </w:rPr>
              <w:t>）直接为</w:t>
            </w:r>
            <w:r>
              <w:rPr>
                <w:spacing w:val="-91"/>
                <w:sz w:val="21"/>
                <w:szCs w:val="21"/>
                <w:highlight w:val="none"/>
              </w:rPr>
              <w:t xml:space="preserve"> </w:t>
            </w:r>
            <w:r>
              <w:rPr>
                <w:rFonts w:ascii="Times New Roman" w:hAnsi="Times New Roman" w:eastAsia="Times New Roman" w:cs="Times New Roman"/>
                <w:spacing w:val="-4"/>
                <w:sz w:val="21"/>
                <w:szCs w:val="21"/>
                <w:highlight w:val="none"/>
                <w:u w:val="single" w:color="auto"/>
              </w:rPr>
              <w:t xml:space="preserve">    G%    </w:t>
            </w:r>
            <w:r>
              <w:rPr>
                <w:rFonts w:ascii="Times New Roman" w:hAnsi="Times New Roman" w:eastAsia="Times New Roman" w:cs="Times New Roman"/>
                <w:spacing w:val="-38"/>
                <w:sz w:val="21"/>
                <w:szCs w:val="21"/>
                <w:highlight w:val="none"/>
              </w:rPr>
              <w:t xml:space="preserve"> </w:t>
            </w:r>
            <w:r>
              <w:rPr>
                <w:rFonts w:ascii="Times New Roman" w:hAnsi="Times New Roman" w:eastAsia="Times New Roman" w:cs="Times New Roman"/>
                <w:spacing w:val="-4"/>
                <w:sz w:val="21"/>
                <w:szCs w:val="21"/>
                <w:highlight w:val="none"/>
              </w:rPr>
              <w:t xml:space="preserve">*C </w:t>
            </w:r>
            <w:r>
              <w:rPr>
                <w:spacing w:val="-4"/>
                <w:sz w:val="21"/>
                <w:szCs w:val="21"/>
                <w:highlight w:val="none"/>
              </w:rPr>
              <w:t>值（最高投标</w:t>
            </w:r>
            <w:r>
              <w:rPr>
                <w:spacing w:val="-5"/>
                <w:sz w:val="21"/>
                <w:szCs w:val="21"/>
                <w:highlight w:val="none"/>
              </w:rPr>
              <w:t>限价的</w:t>
            </w:r>
            <w:r>
              <w:rPr>
                <w:rFonts w:ascii="Times New Roman" w:hAnsi="Times New Roman" w:eastAsia="Times New Roman" w:cs="Times New Roman"/>
                <w:spacing w:val="-5"/>
                <w:sz w:val="21"/>
                <w:szCs w:val="21"/>
                <w:highlight w:val="none"/>
                <w:u w:val="single" w:color="auto"/>
              </w:rPr>
              <w:t xml:space="preserve">    G%    </w:t>
            </w:r>
            <w:r>
              <w:rPr>
                <w:spacing w:val="-5"/>
                <w:sz w:val="21"/>
                <w:szCs w:val="21"/>
                <w:highlight w:val="none"/>
              </w:rPr>
              <w:t>）。否则，</w:t>
            </w:r>
            <w:r>
              <w:rPr>
                <w:spacing w:val="-24"/>
                <w:sz w:val="21"/>
                <w:szCs w:val="21"/>
                <w:highlight w:val="none"/>
              </w:rPr>
              <w:t xml:space="preserve"> </w:t>
            </w:r>
            <w:r>
              <w:rPr>
                <w:spacing w:val="-5"/>
                <w:sz w:val="21"/>
                <w:szCs w:val="21"/>
                <w:highlight w:val="none"/>
              </w:rPr>
              <w:t>按以下方式计算评</w:t>
            </w:r>
            <w:r>
              <w:rPr>
                <w:spacing w:val="-6"/>
                <w:sz w:val="21"/>
                <w:szCs w:val="21"/>
                <w:highlight w:val="none"/>
              </w:rPr>
              <w:t>标价平均</w:t>
            </w:r>
            <w:r>
              <w:rPr>
                <w:spacing w:val="-3"/>
                <w:sz w:val="21"/>
                <w:szCs w:val="21"/>
                <w:highlight w:val="none"/>
              </w:rPr>
              <w:t>值（</w:t>
            </w:r>
            <w:r>
              <w:rPr>
                <w:rFonts w:ascii="Times New Roman" w:hAnsi="Times New Roman" w:eastAsia="Times New Roman" w:cs="Times New Roman"/>
                <w:spacing w:val="-3"/>
                <w:sz w:val="21"/>
                <w:szCs w:val="21"/>
                <w:highlight w:val="none"/>
              </w:rPr>
              <w:t>B</w:t>
            </w:r>
            <w:r>
              <w:rPr>
                <w:spacing w:val="-13"/>
                <w:sz w:val="21"/>
                <w:szCs w:val="21"/>
                <w:highlight w:val="none"/>
              </w:rPr>
              <w:t>）：</w:t>
            </w:r>
          </w:p>
          <w:p w14:paraId="795ED05C">
            <w:pPr>
              <w:keepNext w:val="0"/>
              <w:keepLines w:val="0"/>
              <w:pageBreakBefore w:val="0"/>
              <w:widowControl/>
              <w:kinsoku/>
              <w:wordWrap/>
              <w:overflowPunct/>
              <w:topLinePunct w:val="0"/>
              <w:autoSpaceDE/>
              <w:autoSpaceDN/>
              <w:bidi w:val="0"/>
              <w:adjustRightInd/>
              <w:snapToGrid/>
              <w:spacing w:line="360" w:lineRule="exact"/>
              <w:ind w:firstLine="412" w:firstLineChars="200"/>
              <w:jc w:val="left"/>
              <w:textAlignment w:val="auto"/>
              <w:rPr>
                <w:spacing w:val="-2"/>
                <w:sz w:val="21"/>
                <w:szCs w:val="21"/>
                <w:highlight w:val="none"/>
              </w:rPr>
            </w:pPr>
            <w:r>
              <w:rPr>
                <w:rFonts w:ascii="Times New Roman" w:hAnsi="Times New Roman" w:eastAsia="Times New Roman" w:cs="Times New Roman"/>
                <w:spacing w:val="-2"/>
                <w:sz w:val="21"/>
                <w:szCs w:val="21"/>
                <w:highlight w:val="none"/>
              </w:rPr>
              <w:t>1</w:t>
            </w:r>
            <w:r>
              <w:rPr>
                <w:spacing w:val="-2"/>
                <w:sz w:val="21"/>
                <w:szCs w:val="21"/>
                <w:highlight w:val="none"/>
              </w:rPr>
              <w:t>、评标价初始平均值（</w:t>
            </w:r>
            <w:r>
              <w:rPr>
                <w:rFonts w:ascii="Times New Roman" w:hAnsi="Times New Roman" w:eastAsia="Times New Roman" w:cs="Times New Roman"/>
                <w:spacing w:val="-2"/>
                <w:sz w:val="21"/>
                <w:szCs w:val="21"/>
                <w:highlight w:val="none"/>
              </w:rPr>
              <w:t>B1</w:t>
            </w:r>
            <w:r>
              <w:rPr>
                <w:spacing w:val="-2"/>
                <w:sz w:val="21"/>
                <w:szCs w:val="21"/>
                <w:highlight w:val="none"/>
              </w:rPr>
              <w:t>）</w:t>
            </w:r>
          </w:p>
          <w:p w14:paraId="5F3A29C5">
            <w:pPr>
              <w:pStyle w:val="92"/>
              <w:spacing w:before="107" w:line="318" w:lineRule="auto"/>
              <w:ind w:left="111" w:right="154" w:firstLine="420"/>
              <w:rPr>
                <w:sz w:val="21"/>
                <w:szCs w:val="21"/>
                <w:highlight w:val="none"/>
              </w:rPr>
            </w:pPr>
            <w:r>
              <w:rPr>
                <w:spacing w:val="-1"/>
                <w:sz w:val="21"/>
                <w:szCs w:val="21"/>
                <w:highlight w:val="none"/>
              </w:rPr>
              <w:t>所有参加评标价平均值计算的评标价的算术平均值为评标价初始平均值</w:t>
            </w:r>
            <w:r>
              <w:rPr>
                <w:spacing w:val="-49"/>
                <w:sz w:val="21"/>
                <w:szCs w:val="21"/>
                <w:highlight w:val="none"/>
              </w:rPr>
              <w:t xml:space="preserve"> </w:t>
            </w:r>
            <w:r>
              <w:rPr>
                <w:rFonts w:ascii="Times New Roman" w:hAnsi="Times New Roman" w:eastAsia="Times New Roman" w:cs="Times New Roman"/>
                <w:spacing w:val="-1"/>
                <w:sz w:val="21"/>
                <w:szCs w:val="21"/>
                <w:highlight w:val="none"/>
              </w:rPr>
              <w:t>B1</w:t>
            </w:r>
            <w:r>
              <w:rPr>
                <w:spacing w:val="-1"/>
                <w:sz w:val="21"/>
                <w:szCs w:val="21"/>
                <w:highlight w:val="none"/>
              </w:rPr>
              <w:t>。</w:t>
            </w:r>
          </w:p>
          <w:p w14:paraId="3B43F3F3">
            <w:pPr>
              <w:pStyle w:val="92"/>
              <w:spacing w:before="158" w:line="318" w:lineRule="auto"/>
              <w:ind w:left="112" w:right="135" w:firstLine="417"/>
              <w:rPr>
                <w:sz w:val="21"/>
                <w:szCs w:val="21"/>
                <w:highlight w:val="none"/>
              </w:rPr>
            </w:pPr>
            <w:r>
              <w:rPr>
                <w:spacing w:val="-1"/>
                <w:sz w:val="21"/>
                <w:szCs w:val="21"/>
                <w:highlight w:val="none"/>
              </w:rPr>
              <w:t>评标价初始平均值（</w:t>
            </w:r>
            <w:r>
              <w:rPr>
                <w:rFonts w:ascii="Times New Roman" w:hAnsi="Times New Roman" w:eastAsia="Times New Roman" w:cs="Times New Roman"/>
                <w:spacing w:val="-1"/>
                <w:sz w:val="21"/>
                <w:szCs w:val="21"/>
                <w:highlight w:val="none"/>
              </w:rPr>
              <w:t>B1</w:t>
            </w:r>
            <w:r>
              <w:rPr>
                <w:spacing w:val="-1"/>
                <w:sz w:val="21"/>
                <w:szCs w:val="21"/>
                <w:highlight w:val="none"/>
              </w:rPr>
              <w:t>）保留七位小数，小</w:t>
            </w:r>
            <w:r>
              <w:rPr>
                <w:spacing w:val="-2"/>
                <w:sz w:val="21"/>
                <w:szCs w:val="21"/>
                <w:highlight w:val="none"/>
              </w:rPr>
              <w:t>数点</w:t>
            </w:r>
            <w:r>
              <w:rPr>
                <w:spacing w:val="-4"/>
                <w:sz w:val="21"/>
                <w:szCs w:val="21"/>
                <w:highlight w:val="none"/>
              </w:rPr>
              <w:t>后第八位“四舍五入”。</w:t>
            </w:r>
          </w:p>
          <w:p w14:paraId="62110310">
            <w:pPr>
              <w:pStyle w:val="92"/>
              <w:spacing w:before="155" w:line="219" w:lineRule="auto"/>
              <w:ind w:left="527"/>
              <w:rPr>
                <w:sz w:val="21"/>
                <w:szCs w:val="21"/>
                <w:highlight w:val="none"/>
              </w:rPr>
            </w:pPr>
            <w:r>
              <w:rPr>
                <w:rFonts w:ascii="Times New Roman" w:hAnsi="Times New Roman" w:eastAsia="Times New Roman" w:cs="Times New Roman"/>
                <w:spacing w:val="-1"/>
                <w:sz w:val="21"/>
                <w:szCs w:val="21"/>
                <w:highlight w:val="none"/>
              </w:rPr>
              <w:t>2</w:t>
            </w:r>
            <w:r>
              <w:rPr>
                <w:spacing w:val="-1"/>
                <w:sz w:val="21"/>
                <w:szCs w:val="21"/>
                <w:highlight w:val="none"/>
              </w:rPr>
              <w:t>、评标价区段平均值（</w:t>
            </w:r>
            <w:r>
              <w:rPr>
                <w:rFonts w:ascii="Times New Roman" w:hAnsi="Times New Roman" w:eastAsia="Times New Roman" w:cs="Times New Roman"/>
                <w:spacing w:val="-1"/>
                <w:sz w:val="21"/>
                <w:szCs w:val="21"/>
                <w:highlight w:val="none"/>
              </w:rPr>
              <w:t>B2</w:t>
            </w:r>
            <w:r>
              <w:rPr>
                <w:spacing w:val="-1"/>
                <w:sz w:val="21"/>
                <w:szCs w:val="21"/>
                <w:highlight w:val="none"/>
              </w:rPr>
              <w:t>）</w:t>
            </w:r>
          </w:p>
          <w:p w14:paraId="64A64F7C">
            <w:pPr>
              <w:pStyle w:val="92"/>
              <w:spacing w:before="270" w:line="219" w:lineRule="auto"/>
              <w:ind w:left="531"/>
              <w:rPr>
                <w:sz w:val="21"/>
                <w:szCs w:val="21"/>
                <w:highlight w:val="none"/>
              </w:rPr>
            </w:pPr>
            <w:r>
              <w:rPr>
                <w:spacing w:val="-1"/>
                <w:sz w:val="21"/>
                <w:szCs w:val="21"/>
                <w:highlight w:val="none"/>
              </w:rPr>
              <w:t>根据下述区段计算评标价区段平均值（</w:t>
            </w:r>
            <w:r>
              <w:rPr>
                <w:rFonts w:ascii="Times New Roman" w:hAnsi="Times New Roman" w:eastAsia="Times New Roman" w:cs="Times New Roman"/>
                <w:spacing w:val="-1"/>
                <w:sz w:val="21"/>
                <w:szCs w:val="21"/>
                <w:highlight w:val="none"/>
              </w:rPr>
              <w:t>B2.1</w:t>
            </w:r>
            <w:r>
              <w:rPr>
                <w:spacing w:val="-1"/>
                <w:sz w:val="21"/>
                <w:szCs w:val="21"/>
                <w:highlight w:val="none"/>
              </w:rPr>
              <w:t>、</w:t>
            </w:r>
          </w:p>
          <w:p w14:paraId="3214B5CB">
            <w:pPr>
              <w:keepNext w:val="0"/>
              <w:keepLines w:val="0"/>
              <w:pageBreakBefore w:val="0"/>
              <w:widowControl/>
              <w:kinsoku/>
              <w:wordWrap/>
              <w:overflowPunct/>
              <w:topLinePunct w:val="0"/>
              <w:autoSpaceDE/>
              <w:autoSpaceDN/>
              <w:bidi w:val="0"/>
              <w:adjustRightInd/>
              <w:snapToGrid/>
              <w:spacing w:line="360" w:lineRule="exact"/>
              <w:ind w:firstLine="408" w:firstLineChars="200"/>
              <w:jc w:val="left"/>
              <w:textAlignment w:val="auto"/>
              <w:rPr>
                <w:rFonts w:hint="eastAsia"/>
                <w:spacing w:val="-2"/>
                <w:sz w:val="21"/>
                <w:szCs w:val="21"/>
                <w:highlight w:val="none"/>
              </w:rPr>
            </w:pPr>
            <w:r>
              <w:rPr>
                <w:rFonts w:ascii="Times New Roman" w:hAnsi="Times New Roman" w:eastAsia="Times New Roman" w:cs="Times New Roman"/>
                <w:spacing w:val="-3"/>
                <w:sz w:val="21"/>
                <w:szCs w:val="21"/>
                <w:highlight w:val="none"/>
              </w:rPr>
              <w:t>B2.2</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B2.15</w:t>
            </w:r>
            <w:r>
              <w:rPr>
                <w:spacing w:val="-3"/>
                <w:sz w:val="21"/>
                <w:szCs w:val="21"/>
                <w:highlight w:val="none"/>
              </w:rPr>
              <w:t>、</w:t>
            </w:r>
            <w:r>
              <w:rPr>
                <w:rFonts w:ascii="Times New Roman" w:hAnsi="Times New Roman" w:eastAsia="Times New Roman" w:cs="Times New Roman"/>
                <w:spacing w:val="-3"/>
                <w:sz w:val="21"/>
                <w:szCs w:val="21"/>
                <w:highlight w:val="none"/>
              </w:rPr>
              <w:t>B2.16</w:t>
            </w:r>
            <w:r>
              <w:rPr>
                <w:spacing w:val="-27"/>
                <w:sz w:val="21"/>
                <w:szCs w:val="21"/>
                <w:highlight w:val="none"/>
              </w:rPr>
              <w:t>），</w:t>
            </w:r>
            <w:r>
              <w:rPr>
                <w:spacing w:val="-3"/>
                <w:sz w:val="21"/>
                <w:szCs w:val="21"/>
                <w:highlight w:val="none"/>
              </w:rPr>
              <w:t>各区段平均值为该区段内各评标价的算术平均值。如：</w:t>
            </w:r>
            <w:r>
              <w:rPr>
                <w:rFonts w:ascii="Times New Roman" w:hAnsi="Times New Roman" w:eastAsia="Times New Roman" w:cs="Times New Roman"/>
                <w:spacing w:val="-3"/>
                <w:sz w:val="21"/>
                <w:szCs w:val="21"/>
                <w:highlight w:val="none"/>
              </w:rPr>
              <w:t xml:space="preserve">B2.2 </w:t>
            </w:r>
            <w:r>
              <w:rPr>
                <w:spacing w:val="-3"/>
                <w:sz w:val="21"/>
                <w:szCs w:val="21"/>
                <w:highlight w:val="none"/>
              </w:rPr>
              <w:t>为“</w:t>
            </w:r>
            <w:r>
              <w:rPr>
                <w:rFonts w:ascii="Times New Roman" w:hAnsi="Times New Roman" w:eastAsia="Times New Roman" w:cs="Times New Roman"/>
                <w:spacing w:val="-3"/>
                <w:sz w:val="21"/>
                <w:szCs w:val="21"/>
                <w:highlight w:val="none"/>
              </w:rPr>
              <w:t>1.03*B1</w:t>
            </w:r>
            <w:r>
              <w:rPr>
                <w:spacing w:val="-3"/>
                <w:sz w:val="21"/>
                <w:szCs w:val="21"/>
                <w:highlight w:val="none"/>
              </w:rPr>
              <w:t>（不</w:t>
            </w:r>
            <w:r>
              <w:rPr>
                <w:sz w:val="21"/>
                <w:szCs w:val="21"/>
                <w:highlight w:val="none"/>
              </w:rPr>
              <w:t>含</w:t>
            </w:r>
            <w:r>
              <w:rPr>
                <w:spacing w:val="-9"/>
                <w:sz w:val="21"/>
                <w:szCs w:val="21"/>
                <w:highlight w:val="none"/>
              </w:rPr>
              <w:t>）～</w:t>
            </w:r>
            <w:r>
              <w:rPr>
                <w:rFonts w:ascii="Times New Roman" w:hAnsi="Times New Roman" w:eastAsia="Times New Roman" w:cs="Times New Roman"/>
                <w:sz w:val="21"/>
                <w:szCs w:val="21"/>
                <w:highlight w:val="none"/>
              </w:rPr>
              <w:t>1.035*B1</w:t>
            </w:r>
            <w:r>
              <w:rPr>
                <w:sz w:val="21"/>
                <w:szCs w:val="21"/>
                <w:highlight w:val="none"/>
              </w:rPr>
              <w:t>（含）”范围内的所有评标价的</w:t>
            </w:r>
            <w:r>
              <w:rPr>
                <w:spacing w:val="-1"/>
                <w:sz w:val="21"/>
                <w:szCs w:val="21"/>
                <w:highlight w:val="none"/>
              </w:rPr>
              <w:t>算术平均值。评标价区段平均值（</w:t>
            </w:r>
            <w:r>
              <w:rPr>
                <w:rFonts w:ascii="Times New Roman" w:hAnsi="Times New Roman" w:eastAsia="Times New Roman" w:cs="Times New Roman"/>
                <w:spacing w:val="-1"/>
                <w:sz w:val="21"/>
                <w:szCs w:val="21"/>
                <w:highlight w:val="none"/>
              </w:rPr>
              <w:t>B2</w:t>
            </w:r>
            <w:r>
              <w:rPr>
                <w:spacing w:val="-1"/>
                <w:sz w:val="21"/>
                <w:szCs w:val="21"/>
                <w:highlight w:val="none"/>
              </w:rPr>
              <w:t>）保留七位小数，小</w:t>
            </w:r>
            <w:r>
              <w:rPr>
                <w:spacing w:val="-3"/>
                <w:sz w:val="21"/>
                <w:szCs w:val="21"/>
                <w:highlight w:val="none"/>
              </w:rPr>
              <w:t>数点后第八位“四舍五入”。</w:t>
            </w:r>
          </w:p>
          <w:tbl>
            <w:tblPr>
              <w:tblStyle w:val="41"/>
              <w:tblW w:w="4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1494"/>
            </w:tblGrid>
            <w:tr w14:paraId="670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0ABE299E">
                  <w:pPr>
                    <w:pStyle w:val="9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kern w:val="0"/>
                      <w:szCs w:val="21"/>
                      <w:highlight w:val="none"/>
                      <w:vertAlign w:val="baseline"/>
                      <w:lang w:bidi="ar"/>
                    </w:rPr>
                  </w:pPr>
                  <w:r>
                    <w:rPr>
                      <w:spacing w:val="-6"/>
                      <w:sz w:val="21"/>
                      <w:szCs w:val="21"/>
                      <w:highlight w:val="none"/>
                    </w:rPr>
                    <w:t>区段</w:t>
                  </w:r>
                </w:p>
              </w:tc>
              <w:tc>
                <w:tcPr>
                  <w:tcW w:w="1494" w:type="dxa"/>
                  <w:vAlign w:val="center"/>
                </w:tcPr>
                <w:p w14:paraId="07E6E921">
                  <w:pPr>
                    <w:pStyle w:val="92"/>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Times New Roman"/>
                      <w:b/>
                      <w:bCs/>
                      <w:color w:val="000000"/>
                      <w:kern w:val="0"/>
                      <w:szCs w:val="21"/>
                      <w:highlight w:val="none"/>
                      <w:vertAlign w:val="baseline"/>
                      <w:lang w:eastAsia="zh-CN" w:bidi="ar"/>
                    </w:rPr>
                  </w:pPr>
                  <w:r>
                    <w:rPr>
                      <w:spacing w:val="-5"/>
                      <w:sz w:val="21"/>
                      <w:szCs w:val="21"/>
                      <w:highlight w:val="none"/>
                    </w:rPr>
                    <w:t>区段平均值</w:t>
                  </w:r>
                  <w:r>
                    <w:rPr>
                      <w:rFonts w:hint="eastAsia"/>
                      <w:spacing w:val="-5"/>
                      <w:sz w:val="21"/>
                      <w:szCs w:val="21"/>
                      <w:highlight w:val="none"/>
                      <w:lang w:eastAsia="zh-CN"/>
                    </w:rPr>
                    <w:t>（</w:t>
                  </w:r>
                  <w:r>
                    <w:rPr>
                      <w:rFonts w:hint="eastAsia"/>
                      <w:spacing w:val="-5"/>
                      <w:sz w:val="21"/>
                      <w:szCs w:val="21"/>
                      <w:highlight w:val="none"/>
                      <w:lang w:val="en-US" w:eastAsia="zh-CN"/>
                    </w:rPr>
                    <w:t>B2</w:t>
                  </w:r>
                  <w:r>
                    <w:rPr>
                      <w:rFonts w:hint="eastAsia"/>
                      <w:spacing w:val="-5"/>
                      <w:sz w:val="21"/>
                      <w:szCs w:val="21"/>
                      <w:highlight w:val="none"/>
                      <w:lang w:eastAsia="zh-CN"/>
                    </w:rPr>
                    <w:t>）</w:t>
                  </w:r>
                </w:p>
              </w:tc>
            </w:tr>
            <w:tr w14:paraId="577C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89" w:type="dxa"/>
                  <w:vAlign w:val="center"/>
                </w:tcPr>
                <w:p w14:paraId="65E52D79">
                  <w:pPr>
                    <w:pStyle w:val="9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1.035*B1&lt;评标价</w:t>
                  </w:r>
                </w:p>
              </w:tc>
              <w:tc>
                <w:tcPr>
                  <w:tcW w:w="1494" w:type="dxa"/>
                  <w:vAlign w:val="top"/>
                </w:tcPr>
                <w:p w14:paraId="474C657C">
                  <w:pPr>
                    <w:spacing w:before="146"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B2.1</w:t>
                  </w:r>
                </w:p>
              </w:tc>
            </w:tr>
            <w:tr w14:paraId="1822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6302FF2C">
                  <w:pPr>
                    <w:pStyle w:val="9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1.03*B1&lt;评标价≤1.035*B1</w:t>
                  </w:r>
                </w:p>
              </w:tc>
              <w:tc>
                <w:tcPr>
                  <w:tcW w:w="1494" w:type="dxa"/>
                  <w:vAlign w:val="top"/>
                </w:tcPr>
                <w:p w14:paraId="6A1D6FAB">
                  <w:pPr>
                    <w:spacing w:before="147"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B2.2</w:t>
                  </w:r>
                </w:p>
              </w:tc>
            </w:tr>
            <w:tr w14:paraId="305F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1A21CADC">
                  <w:pPr>
                    <w:pStyle w:val="9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1.025*B1&lt;评标价≤1.03*B1</w:t>
                  </w:r>
                </w:p>
              </w:tc>
              <w:tc>
                <w:tcPr>
                  <w:tcW w:w="1494" w:type="dxa"/>
                  <w:vAlign w:val="top"/>
                </w:tcPr>
                <w:p w14:paraId="7F705E6C">
                  <w:pPr>
                    <w:spacing w:before="148"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B2.3</w:t>
                  </w:r>
                </w:p>
              </w:tc>
            </w:tr>
            <w:tr w14:paraId="79E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5CC36191">
                  <w:pPr>
                    <w:pStyle w:val="9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1.02*B1&lt;评标价≤1.025*B1</w:t>
                  </w:r>
                </w:p>
              </w:tc>
              <w:tc>
                <w:tcPr>
                  <w:tcW w:w="1494" w:type="dxa"/>
                  <w:vAlign w:val="top"/>
                </w:tcPr>
                <w:p w14:paraId="6F669B0D">
                  <w:pPr>
                    <w:spacing w:before="149"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B2.4</w:t>
                  </w:r>
                </w:p>
              </w:tc>
            </w:tr>
            <w:tr w14:paraId="62A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37C265BE">
                  <w:pPr>
                    <w:pStyle w:val="9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1.015*B1&lt;评标价≤1.02*B1</w:t>
                  </w:r>
                </w:p>
              </w:tc>
              <w:tc>
                <w:tcPr>
                  <w:tcW w:w="1494" w:type="dxa"/>
                  <w:vAlign w:val="top"/>
                </w:tcPr>
                <w:p w14:paraId="0AC4EBF9">
                  <w:pPr>
                    <w:spacing w:before="150"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B2.5</w:t>
                  </w:r>
                </w:p>
              </w:tc>
            </w:tr>
            <w:tr w14:paraId="6F7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212CBB37">
                  <w:pPr>
                    <w:pStyle w:val="9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1.01*B1&lt;评标价≤1.015*B1</w:t>
                  </w:r>
                </w:p>
              </w:tc>
              <w:tc>
                <w:tcPr>
                  <w:tcW w:w="1494" w:type="dxa"/>
                  <w:vAlign w:val="top"/>
                </w:tcPr>
                <w:p w14:paraId="4F71AF5E">
                  <w:pPr>
                    <w:spacing w:before="151"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B2.6</w:t>
                  </w:r>
                </w:p>
              </w:tc>
            </w:tr>
            <w:tr w14:paraId="6BB6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40BC75">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1.005*B1&lt;评标价≤1.01*B1</w:t>
                  </w:r>
                </w:p>
              </w:tc>
              <w:tc>
                <w:tcPr>
                  <w:tcW w:w="1494" w:type="dxa"/>
                  <w:shd w:val="clear" w:color="auto" w:fill="auto"/>
                  <w:vAlign w:val="center"/>
                </w:tcPr>
                <w:p w14:paraId="516A3007">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B2.7</w:t>
                  </w:r>
                </w:p>
              </w:tc>
            </w:tr>
            <w:tr w14:paraId="126D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38C471">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1.00*B1&lt;评标价≤1.005*B1</w:t>
                  </w:r>
                </w:p>
              </w:tc>
              <w:tc>
                <w:tcPr>
                  <w:tcW w:w="1494" w:type="dxa"/>
                  <w:shd w:val="clear" w:color="auto" w:fill="auto"/>
                  <w:vAlign w:val="center"/>
                </w:tcPr>
                <w:p w14:paraId="36E16FEB">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B2.8</w:t>
                  </w:r>
                </w:p>
              </w:tc>
            </w:tr>
            <w:tr w14:paraId="71A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C354B70">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0.995*B1&lt;评标价≤1.00*B1</w:t>
                  </w:r>
                </w:p>
              </w:tc>
              <w:tc>
                <w:tcPr>
                  <w:tcW w:w="1494" w:type="dxa"/>
                  <w:shd w:val="clear" w:color="auto" w:fill="auto"/>
                  <w:vAlign w:val="center"/>
                </w:tcPr>
                <w:p w14:paraId="30D06086">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B2.9</w:t>
                  </w:r>
                </w:p>
              </w:tc>
            </w:tr>
            <w:tr w14:paraId="53E8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60D07723">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0.99*B1&lt;评标价≤0.995*B1</w:t>
                  </w:r>
                </w:p>
              </w:tc>
              <w:tc>
                <w:tcPr>
                  <w:tcW w:w="1494" w:type="dxa"/>
                  <w:shd w:val="clear" w:color="auto" w:fill="auto"/>
                  <w:vAlign w:val="center"/>
                </w:tcPr>
                <w:p w14:paraId="77150067">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B2.10</w:t>
                  </w:r>
                </w:p>
              </w:tc>
            </w:tr>
            <w:tr w14:paraId="29F1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4C6C7D66">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0.985*B1&lt;评标价≤0.99*B1</w:t>
                  </w:r>
                </w:p>
              </w:tc>
              <w:tc>
                <w:tcPr>
                  <w:tcW w:w="1494" w:type="dxa"/>
                  <w:shd w:val="clear" w:color="auto" w:fill="auto"/>
                  <w:vAlign w:val="center"/>
                </w:tcPr>
                <w:p w14:paraId="09FB76D7">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B2.11</w:t>
                  </w:r>
                </w:p>
              </w:tc>
            </w:tr>
            <w:tr w14:paraId="7BAD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4B7AD12">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0.98*B1&lt;评标价≤0.985*B1</w:t>
                  </w:r>
                </w:p>
              </w:tc>
              <w:tc>
                <w:tcPr>
                  <w:tcW w:w="1494" w:type="dxa"/>
                  <w:shd w:val="clear" w:color="auto" w:fill="auto"/>
                  <w:vAlign w:val="center"/>
                </w:tcPr>
                <w:p w14:paraId="274EB77F">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B2.12</w:t>
                  </w:r>
                </w:p>
              </w:tc>
            </w:tr>
            <w:tr w14:paraId="18C9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1F844618">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0.975*B1&lt;评标价≤0.98*B1</w:t>
                  </w:r>
                </w:p>
              </w:tc>
              <w:tc>
                <w:tcPr>
                  <w:tcW w:w="1494" w:type="dxa"/>
                  <w:shd w:val="clear" w:color="auto" w:fill="auto"/>
                  <w:vAlign w:val="center"/>
                </w:tcPr>
                <w:p w14:paraId="2D80FEF3">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B2.13</w:t>
                  </w:r>
                </w:p>
              </w:tc>
            </w:tr>
            <w:tr w14:paraId="4E8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3A61AC30">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0.97*B1&lt;评标价≤0.975*B1</w:t>
                  </w:r>
                </w:p>
              </w:tc>
              <w:tc>
                <w:tcPr>
                  <w:tcW w:w="1494" w:type="dxa"/>
                  <w:shd w:val="clear" w:color="auto" w:fill="auto"/>
                  <w:vAlign w:val="center"/>
                </w:tcPr>
                <w:p w14:paraId="21F3042A">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B2.14</w:t>
                  </w:r>
                </w:p>
              </w:tc>
            </w:tr>
            <w:tr w14:paraId="242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06C31C23">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0.965*B1≤评标价≤0.97*B1</w:t>
                  </w:r>
                </w:p>
              </w:tc>
              <w:tc>
                <w:tcPr>
                  <w:tcW w:w="1494" w:type="dxa"/>
                  <w:shd w:val="clear" w:color="auto" w:fill="auto"/>
                  <w:vAlign w:val="center"/>
                </w:tcPr>
                <w:p w14:paraId="59F05C7B">
                  <w:pPr>
                    <w:pStyle w:val="9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B2.15</w:t>
                  </w:r>
                </w:p>
              </w:tc>
            </w:tr>
            <w:tr w14:paraId="6F5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7B3C8360">
                  <w:pPr>
                    <w:pStyle w:val="9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评标价&lt;0.965*B1</w:t>
                  </w:r>
                </w:p>
              </w:tc>
              <w:tc>
                <w:tcPr>
                  <w:tcW w:w="1494" w:type="dxa"/>
                  <w:shd w:val="clear" w:color="auto" w:fill="auto"/>
                  <w:vAlign w:val="center"/>
                </w:tcPr>
                <w:p w14:paraId="00CE0E3C">
                  <w:pPr>
                    <w:spacing w:before="146" w:line="186" w:lineRule="auto"/>
                    <w:jc w:val="center"/>
                    <w:rPr>
                      <w:rFonts w:ascii="Times New Roman" w:hAnsi="Times New Roman" w:eastAsia="Times New Roman" w:cs="Times New Roman"/>
                      <w:kern w:val="2"/>
                      <w:sz w:val="21"/>
                      <w:szCs w:val="21"/>
                      <w:highlight w:val="none"/>
                      <w:lang w:val="en-US" w:eastAsia="zh-CN" w:bidi="ar-SA"/>
                    </w:rPr>
                  </w:pPr>
                  <w:r>
                    <w:rPr>
                      <w:rFonts w:ascii="Times New Roman" w:hAnsi="Times New Roman" w:eastAsia="Times New Roman" w:cs="Times New Roman"/>
                      <w:spacing w:val="-1"/>
                      <w:sz w:val="21"/>
                      <w:szCs w:val="21"/>
                      <w:highlight w:val="none"/>
                    </w:rPr>
                    <w:t>B2.16</w:t>
                  </w:r>
                </w:p>
              </w:tc>
            </w:tr>
          </w:tbl>
          <w:p w14:paraId="60F5CEE2">
            <w:pPr>
              <w:pStyle w:val="92"/>
              <w:spacing w:before="107" w:line="219" w:lineRule="auto"/>
              <w:ind w:left="531"/>
              <w:rPr>
                <w:sz w:val="21"/>
                <w:szCs w:val="21"/>
                <w:highlight w:val="none"/>
              </w:rPr>
            </w:pPr>
            <w:r>
              <w:rPr>
                <w:rFonts w:ascii="Times New Roman" w:hAnsi="Times New Roman" w:eastAsia="Times New Roman" w:cs="Times New Roman"/>
                <w:spacing w:val="-1"/>
                <w:sz w:val="21"/>
                <w:szCs w:val="21"/>
                <w:highlight w:val="none"/>
              </w:rPr>
              <w:t>3</w:t>
            </w:r>
            <w:r>
              <w:rPr>
                <w:spacing w:val="-1"/>
                <w:sz w:val="21"/>
                <w:szCs w:val="21"/>
                <w:highlight w:val="none"/>
              </w:rPr>
              <w:t>、评标价平均值（</w:t>
            </w:r>
            <w:r>
              <w:rPr>
                <w:rFonts w:ascii="Times New Roman" w:hAnsi="Times New Roman" w:eastAsia="Times New Roman" w:cs="Times New Roman"/>
                <w:spacing w:val="-1"/>
                <w:sz w:val="21"/>
                <w:szCs w:val="21"/>
                <w:highlight w:val="none"/>
              </w:rPr>
              <w:t>B</w:t>
            </w:r>
            <w:r>
              <w:rPr>
                <w:spacing w:val="-1"/>
                <w:sz w:val="21"/>
                <w:szCs w:val="21"/>
                <w:highlight w:val="none"/>
              </w:rPr>
              <w:t>）</w:t>
            </w:r>
          </w:p>
          <w:p w14:paraId="4E48D772">
            <w:pPr>
              <w:pStyle w:val="92"/>
              <w:spacing w:before="271" w:line="220" w:lineRule="auto"/>
              <w:ind w:left="536"/>
              <w:rPr>
                <w:sz w:val="21"/>
                <w:szCs w:val="21"/>
                <w:highlight w:val="none"/>
              </w:rPr>
            </w:pPr>
            <w:r>
              <w:rPr>
                <w:spacing w:val="-2"/>
                <w:sz w:val="21"/>
                <w:szCs w:val="21"/>
                <w:highlight w:val="none"/>
              </w:rPr>
              <w:t>（</w:t>
            </w:r>
            <w:r>
              <w:rPr>
                <w:rFonts w:ascii="Times New Roman" w:hAnsi="Times New Roman" w:eastAsia="Times New Roman" w:cs="Times New Roman"/>
                <w:spacing w:val="-2"/>
                <w:sz w:val="21"/>
                <w:szCs w:val="21"/>
                <w:highlight w:val="none"/>
              </w:rPr>
              <w:t>1</w:t>
            </w:r>
            <w:r>
              <w:rPr>
                <w:spacing w:val="-2"/>
                <w:sz w:val="21"/>
                <w:szCs w:val="21"/>
                <w:highlight w:val="none"/>
              </w:rPr>
              <w:t>）按下列公式，将计算得出的区段平均值</w:t>
            </w:r>
          </w:p>
          <w:p w14:paraId="2A5D4A69">
            <w:pPr>
              <w:pStyle w:val="92"/>
              <w:spacing w:before="111" w:line="317" w:lineRule="auto"/>
              <w:ind w:left="106" w:right="42" w:firstLine="10"/>
              <w:rPr>
                <w:sz w:val="21"/>
                <w:szCs w:val="21"/>
                <w:highlight w:val="none"/>
              </w:rPr>
            </w:pPr>
            <w:r>
              <w:rPr>
                <w:spacing w:val="-3"/>
                <w:sz w:val="21"/>
                <w:szCs w:val="21"/>
                <w:highlight w:val="none"/>
              </w:rPr>
              <w:t>（</w:t>
            </w:r>
            <w:r>
              <w:rPr>
                <w:rFonts w:ascii="Times New Roman" w:hAnsi="Times New Roman" w:eastAsia="Times New Roman" w:cs="Times New Roman"/>
                <w:spacing w:val="-3"/>
                <w:sz w:val="21"/>
                <w:szCs w:val="21"/>
                <w:highlight w:val="none"/>
              </w:rPr>
              <w:t>B2.1</w:t>
            </w:r>
            <w:r>
              <w:rPr>
                <w:rFonts w:ascii="Times New Roman" w:hAnsi="Times New Roman" w:eastAsia="Times New Roman" w:cs="Times New Roman"/>
                <w:spacing w:val="-29"/>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B2.2</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B2.15</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B2.16</w:t>
            </w:r>
            <w:r>
              <w:rPr>
                <w:spacing w:val="-3"/>
                <w:sz w:val="21"/>
                <w:szCs w:val="21"/>
                <w:highlight w:val="none"/>
              </w:rPr>
              <w:t>）进行加权</w:t>
            </w:r>
            <w:r>
              <w:rPr>
                <w:spacing w:val="-4"/>
                <w:sz w:val="21"/>
                <w:szCs w:val="21"/>
                <w:highlight w:val="none"/>
              </w:rPr>
              <w:t>平均（</w:t>
            </w:r>
            <w:r>
              <w:rPr>
                <w:rFonts w:ascii="Times New Roman" w:hAnsi="Times New Roman" w:eastAsia="Times New Roman" w:cs="Times New Roman"/>
                <w:spacing w:val="-4"/>
                <w:sz w:val="21"/>
                <w:szCs w:val="21"/>
                <w:highlight w:val="none"/>
              </w:rPr>
              <w:t xml:space="preserve">B2.1 </w:t>
            </w:r>
            <w:r>
              <w:rPr>
                <w:spacing w:val="-4"/>
                <w:sz w:val="21"/>
                <w:szCs w:val="21"/>
                <w:highlight w:val="none"/>
              </w:rPr>
              <w:t>和</w:t>
            </w:r>
            <w:r>
              <w:rPr>
                <w:spacing w:val="-49"/>
                <w:sz w:val="21"/>
                <w:szCs w:val="21"/>
                <w:highlight w:val="none"/>
              </w:rPr>
              <w:t xml:space="preserve"> </w:t>
            </w:r>
            <w:r>
              <w:rPr>
                <w:rFonts w:ascii="Times New Roman" w:hAnsi="Times New Roman" w:eastAsia="Times New Roman" w:cs="Times New Roman"/>
                <w:spacing w:val="-4"/>
                <w:sz w:val="21"/>
                <w:szCs w:val="21"/>
                <w:highlight w:val="none"/>
              </w:rPr>
              <w:t xml:space="preserve">B2.16 </w:t>
            </w:r>
            <w:r>
              <w:rPr>
                <w:spacing w:val="-4"/>
                <w:sz w:val="21"/>
                <w:szCs w:val="21"/>
                <w:highlight w:val="none"/>
              </w:rPr>
              <w:t>权重为</w:t>
            </w:r>
            <w:r>
              <w:rPr>
                <w:spacing w:val="-44"/>
                <w:sz w:val="21"/>
                <w:szCs w:val="21"/>
                <w:highlight w:val="none"/>
              </w:rPr>
              <w:t xml:space="preserve"> </w:t>
            </w:r>
            <w:r>
              <w:rPr>
                <w:rFonts w:ascii="Times New Roman" w:hAnsi="Times New Roman" w:eastAsia="Times New Roman" w:cs="Times New Roman"/>
                <w:spacing w:val="-4"/>
                <w:sz w:val="21"/>
                <w:szCs w:val="21"/>
                <w:highlight w:val="none"/>
              </w:rPr>
              <w:t>0.1</w:t>
            </w:r>
            <w:r>
              <w:rPr>
                <w:spacing w:val="-4"/>
                <w:sz w:val="21"/>
                <w:szCs w:val="21"/>
                <w:highlight w:val="none"/>
              </w:rPr>
              <w:t>，</w:t>
            </w:r>
            <w:r>
              <w:rPr>
                <w:rFonts w:ascii="Times New Roman" w:hAnsi="Times New Roman" w:eastAsia="Times New Roman" w:cs="Times New Roman"/>
                <w:spacing w:val="-4"/>
                <w:sz w:val="21"/>
                <w:szCs w:val="21"/>
                <w:highlight w:val="none"/>
              </w:rPr>
              <w:t xml:space="preserve">B2.2 </w:t>
            </w:r>
            <w:r>
              <w:rPr>
                <w:spacing w:val="-4"/>
                <w:sz w:val="21"/>
                <w:szCs w:val="21"/>
                <w:highlight w:val="none"/>
              </w:rPr>
              <w:t>和</w:t>
            </w:r>
            <w:r>
              <w:rPr>
                <w:spacing w:val="-49"/>
                <w:sz w:val="21"/>
                <w:szCs w:val="21"/>
                <w:highlight w:val="none"/>
              </w:rPr>
              <w:t xml:space="preserve"> </w:t>
            </w:r>
            <w:r>
              <w:rPr>
                <w:rFonts w:ascii="Times New Roman" w:hAnsi="Times New Roman" w:eastAsia="Times New Roman" w:cs="Times New Roman"/>
                <w:spacing w:val="-4"/>
                <w:sz w:val="21"/>
                <w:szCs w:val="21"/>
                <w:highlight w:val="none"/>
              </w:rPr>
              <w:t xml:space="preserve">B2.15 </w:t>
            </w:r>
            <w:r>
              <w:rPr>
                <w:spacing w:val="-4"/>
                <w:sz w:val="21"/>
                <w:szCs w:val="21"/>
                <w:highlight w:val="none"/>
              </w:rPr>
              <w:t>权重为</w:t>
            </w:r>
            <w:r>
              <w:rPr>
                <w:spacing w:val="-45"/>
                <w:sz w:val="21"/>
                <w:szCs w:val="21"/>
                <w:highlight w:val="none"/>
              </w:rPr>
              <w:t xml:space="preserve"> </w:t>
            </w:r>
            <w:r>
              <w:rPr>
                <w:rFonts w:ascii="Times New Roman" w:hAnsi="Times New Roman" w:eastAsia="Times New Roman" w:cs="Times New Roman"/>
                <w:spacing w:val="-5"/>
                <w:sz w:val="21"/>
                <w:szCs w:val="21"/>
                <w:highlight w:val="none"/>
              </w:rPr>
              <w:t>0.3</w:t>
            </w:r>
            <w:r>
              <w:rPr>
                <w:spacing w:val="-5"/>
                <w:sz w:val="21"/>
                <w:szCs w:val="21"/>
                <w:highlight w:val="none"/>
              </w:rPr>
              <w:t>，</w:t>
            </w:r>
            <w:r>
              <w:rPr>
                <w:sz w:val="21"/>
                <w:szCs w:val="21"/>
                <w:highlight w:val="none"/>
              </w:rPr>
              <w:t xml:space="preserve"> </w:t>
            </w:r>
            <w:r>
              <w:rPr>
                <w:rFonts w:ascii="Times New Roman" w:hAnsi="Times New Roman" w:eastAsia="Times New Roman" w:cs="Times New Roman"/>
                <w:spacing w:val="-2"/>
                <w:sz w:val="21"/>
                <w:szCs w:val="21"/>
                <w:highlight w:val="none"/>
              </w:rPr>
              <w:t xml:space="preserve">B2.3 </w:t>
            </w:r>
            <w:r>
              <w:rPr>
                <w:spacing w:val="-2"/>
                <w:sz w:val="21"/>
                <w:szCs w:val="21"/>
                <w:highlight w:val="none"/>
              </w:rPr>
              <w:t>和</w:t>
            </w:r>
            <w:r>
              <w:rPr>
                <w:spacing w:val="-48"/>
                <w:sz w:val="21"/>
                <w:szCs w:val="21"/>
                <w:highlight w:val="none"/>
              </w:rPr>
              <w:t xml:space="preserve"> </w:t>
            </w:r>
            <w:r>
              <w:rPr>
                <w:rFonts w:ascii="Times New Roman" w:hAnsi="Times New Roman" w:eastAsia="Times New Roman" w:cs="Times New Roman"/>
                <w:spacing w:val="-2"/>
                <w:sz w:val="21"/>
                <w:szCs w:val="21"/>
                <w:highlight w:val="none"/>
              </w:rPr>
              <w:t xml:space="preserve">B2.14 </w:t>
            </w:r>
            <w:r>
              <w:rPr>
                <w:spacing w:val="-2"/>
                <w:sz w:val="21"/>
                <w:szCs w:val="21"/>
                <w:highlight w:val="none"/>
              </w:rPr>
              <w:t>权重为</w:t>
            </w:r>
            <w:r>
              <w:rPr>
                <w:spacing w:val="-45"/>
                <w:sz w:val="21"/>
                <w:szCs w:val="21"/>
                <w:highlight w:val="none"/>
              </w:rPr>
              <w:t xml:space="preserve"> </w:t>
            </w:r>
            <w:r>
              <w:rPr>
                <w:rFonts w:ascii="Times New Roman" w:hAnsi="Times New Roman" w:eastAsia="Times New Roman" w:cs="Times New Roman"/>
                <w:spacing w:val="-2"/>
                <w:sz w:val="21"/>
                <w:szCs w:val="21"/>
                <w:highlight w:val="none"/>
              </w:rPr>
              <w:t>0.5</w:t>
            </w:r>
            <w:r>
              <w:rPr>
                <w:spacing w:val="-2"/>
                <w:sz w:val="21"/>
                <w:szCs w:val="21"/>
                <w:highlight w:val="none"/>
              </w:rPr>
              <w:t>，</w:t>
            </w:r>
            <w:r>
              <w:rPr>
                <w:spacing w:val="-3"/>
                <w:sz w:val="21"/>
                <w:szCs w:val="21"/>
                <w:highlight w:val="none"/>
              </w:rPr>
              <w:t xml:space="preserve">其余权重为 </w:t>
            </w:r>
            <w:r>
              <w:rPr>
                <w:rFonts w:ascii="Times New Roman" w:hAnsi="Times New Roman" w:eastAsia="Times New Roman" w:cs="Times New Roman"/>
                <w:spacing w:val="-3"/>
                <w:sz w:val="21"/>
                <w:szCs w:val="21"/>
                <w:highlight w:val="none"/>
              </w:rPr>
              <w:t>1.0</w:t>
            </w:r>
            <w:r>
              <w:rPr>
                <w:spacing w:val="-2"/>
                <w:sz w:val="21"/>
                <w:szCs w:val="21"/>
                <w:highlight w:val="none"/>
              </w:rPr>
              <w:t>），</w:t>
            </w:r>
            <w:r>
              <w:rPr>
                <w:spacing w:val="-3"/>
                <w:sz w:val="21"/>
                <w:szCs w:val="21"/>
                <w:highlight w:val="none"/>
              </w:rPr>
              <w:t>得出评</w:t>
            </w:r>
            <w:r>
              <w:rPr>
                <w:spacing w:val="-7"/>
                <w:sz w:val="21"/>
                <w:szCs w:val="21"/>
                <w:highlight w:val="none"/>
              </w:rPr>
              <w:t>标价平均值（</w:t>
            </w:r>
            <w:r>
              <w:rPr>
                <w:rFonts w:ascii="Times New Roman" w:hAnsi="Times New Roman" w:eastAsia="Times New Roman" w:cs="Times New Roman"/>
                <w:spacing w:val="-7"/>
                <w:sz w:val="21"/>
                <w:szCs w:val="21"/>
                <w:highlight w:val="none"/>
              </w:rPr>
              <w:t>B</w:t>
            </w:r>
            <w:r>
              <w:rPr>
                <w:spacing w:val="-7"/>
                <w:sz w:val="21"/>
                <w:szCs w:val="21"/>
                <w:highlight w:val="none"/>
              </w:rPr>
              <w:t>）。评标价平均值（</w:t>
            </w:r>
            <w:r>
              <w:rPr>
                <w:rFonts w:ascii="Times New Roman" w:hAnsi="Times New Roman" w:eastAsia="Times New Roman" w:cs="Times New Roman"/>
                <w:spacing w:val="-7"/>
                <w:sz w:val="21"/>
                <w:szCs w:val="21"/>
                <w:highlight w:val="none"/>
              </w:rPr>
              <w:t>B</w:t>
            </w:r>
            <w:r>
              <w:rPr>
                <w:spacing w:val="-7"/>
                <w:sz w:val="21"/>
                <w:szCs w:val="21"/>
                <w:highlight w:val="none"/>
              </w:rPr>
              <w:t>）保留七位小数，</w:t>
            </w:r>
            <w:r>
              <w:rPr>
                <w:spacing w:val="-3"/>
                <w:sz w:val="21"/>
                <w:szCs w:val="21"/>
                <w:highlight w:val="none"/>
              </w:rPr>
              <w:t>小数点后第八位“四舍五入”。</w:t>
            </w:r>
          </w:p>
          <w:p w14:paraId="64B82130">
            <w:pPr>
              <w:pStyle w:val="92"/>
              <w:spacing w:before="126" w:line="323" w:lineRule="auto"/>
              <w:ind w:left="103" w:right="102" w:firstLine="423"/>
              <w:jc w:val="both"/>
              <w:rPr>
                <w:sz w:val="21"/>
                <w:szCs w:val="21"/>
                <w:highlight w:val="none"/>
              </w:rPr>
            </w:pPr>
            <w:r>
              <w:rPr>
                <w:rFonts w:ascii="Times New Roman" w:hAnsi="Times New Roman" w:eastAsia="Times New Roman" w:cs="Times New Roman"/>
                <w:sz w:val="21"/>
                <w:szCs w:val="21"/>
                <w:highlight w:val="none"/>
              </w:rPr>
              <w:t>B=[0.1*B2.1+0.3*B2.2+0.5*B2.3+1.0*</w:t>
            </w:r>
            <w:r>
              <w:rPr>
                <w:rFonts w:ascii="Times New Roman" w:hAnsi="Times New Roman" w:eastAsia="Times New Roman" w:cs="Times New Roman"/>
                <w:spacing w:val="20"/>
                <w:w w:val="101"/>
                <w:sz w:val="21"/>
                <w:szCs w:val="21"/>
                <w:highlight w:val="none"/>
              </w:rPr>
              <w:t xml:space="preserve"> </w:t>
            </w:r>
            <w:r>
              <w:rPr>
                <w:sz w:val="21"/>
                <w:szCs w:val="21"/>
                <w:highlight w:val="none"/>
              </w:rPr>
              <w:t>（</w:t>
            </w:r>
            <w:r>
              <w:rPr>
                <w:rFonts w:ascii="Times New Roman" w:hAnsi="Times New Roman" w:eastAsia="Times New Roman" w:cs="Times New Roman"/>
                <w:sz w:val="21"/>
                <w:szCs w:val="21"/>
                <w:highlight w:val="none"/>
              </w:rPr>
              <w:t>B2.</w:t>
            </w:r>
            <w:r>
              <w:rPr>
                <w:rFonts w:ascii="Times New Roman" w:hAnsi="Times New Roman" w:eastAsia="Times New Roman" w:cs="Times New Roman"/>
                <w:spacing w:val="-1"/>
                <w:sz w:val="21"/>
                <w:szCs w:val="21"/>
                <w:highlight w:val="none"/>
              </w:rPr>
              <w:t>4+B2.</w:t>
            </w:r>
            <w:r>
              <w:rPr>
                <w:rFonts w:ascii="Times New Roman" w:hAnsi="Times New Roman" w:eastAsia="Times New Roman" w:cs="Times New Roman"/>
                <w:sz w:val="21"/>
                <w:szCs w:val="21"/>
                <w:highlight w:val="none"/>
              </w:rPr>
              <w:t xml:space="preserve"> </w:t>
            </w:r>
            <w:r>
              <w:rPr>
                <w:rFonts w:ascii="Times New Roman" w:hAnsi="Times New Roman" w:eastAsia="Times New Roman" w:cs="Times New Roman"/>
                <w:spacing w:val="-6"/>
                <w:sz w:val="21"/>
                <w:szCs w:val="21"/>
                <w:highlight w:val="none"/>
              </w:rPr>
              <w:t>5+</w:t>
            </w:r>
            <w:r>
              <w:rPr>
                <w:spacing w:val="-6"/>
                <w:sz w:val="21"/>
                <w:szCs w:val="21"/>
                <w:highlight w:val="none"/>
              </w:rPr>
              <w:t>……</w:t>
            </w:r>
            <w:r>
              <w:rPr>
                <w:rFonts w:ascii="Times New Roman" w:hAnsi="Times New Roman" w:eastAsia="Times New Roman" w:cs="Times New Roman"/>
                <w:spacing w:val="-6"/>
                <w:sz w:val="21"/>
                <w:szCs w:val="21"/>
                <w:highlight w:val="none"/>
              </w:rPr>
              <w:t>+B2.12+B2.13+</w:t>
            </w:r>
            <w:r>
              <w:rPr>
                <w:spacing w:val="-6"/>
                <w:sz w:val="21"/>
                <w:szCs w:val="21"/>
                <w:highlight w:val="none"/>
              </w:rPr>
              <w:t>）</w:t>
            </w:r>
            <w:r>
              <w:rPr>
                <w:rFonts w:ascii="Times New Roman" w:hAnsi="Times New Roman" w:eastAsia="Times New Roman" w:cs="Times New Roman"/>
                <w:spacing w:val="-6"/>
                <w:sz w:val="21"/>
                <w:szCs w:val="21"/>
                <w:highlight w:val="none"/>
              </w:rPr>
              <w:t>0.5*B2.14+0.3*B2.15+0.1*B2.16]</w:t>
            </w:r>
            <w:r>
              <w:rPr>
                <w:rFonts w:ascii="Times New Roman" w:hAnsi="Times New Roman" w:eastAsia="Times New Roman" w:cs="Times New Roman"/>
                <w:spacing w:val="13"/>
                <w:w w:val="101"/>
                <w:sz w:val="21"/>
                <w:szCs w:val="21"/>
                <w:highlight w:val="none"/>
              </w:rPr>
              <w:t xml:space="preserve"> </w:t>
            </w:r>
            <w:r>
              <w:rPr>
                <w:rFonts w:ascii="Times New Roman" w:hAnsi="Times New Roman" w:eastAsia="Times New Roman" w:cs="Times New Roman"/>
                <w:sz w:val="21"/>
                <w:szCs w:val="21"/>
                <w:highlight w:val="none"/>
              </w:rPr>
              <w:t>/[0.1+0.3+0.5+1.0+1.0+1.0+1.0+1.0+1.0+1.0+1.0+1.0+</w:t>
            </w:r>
            <w:r>
              <w:rPr>
                <w:rFonts w:ascii="Times New Roman" w:hAnsi="Times New Roman" w:eastAsia="Times New Roman" w:cs="Times New Roman"/>
                <w:spacing w:val="-1"/>
                <w:sz w:val="21"/>
                <w:szCs w:val="21"/>
                <w:highlight w:val="none"/>
              </w:rPr>
              <w:t>1.</w:t>
            </w:r>
            <w:r>
              <w:rPr>
                <w:rFonts w:ascii="Times New Roman" w:hAnsi="Times New Roman" w:eastAsia="Times New Roman" w:cs="Times New Roman"/>
                <w:sz w:val="21"/>
                <w:szCs w:val="21"/>
                <w:highlight w:val="none"/>
              </w:rPr>
              <w:t xml:space="preserve"> </w:t>
            </w:r>
            <w:r>
              <w:rPr>
                <w:rFonts w:ascii="Times New Roman" w:hAnsi="Times New Roman" w:eastAsia="Times New Roman" w:cs="Times New Roman"/>
                <w:spacing w:val="-1"/>
                <w:sz w:val="21"/>
                <w:szCs w:val="21"/>
                <w:highlight w:val="none"/>
              </w:rPr>
              <w:t>0+0.5+0.3+0.1]</w:t>
            </w:r>
            <w:r>
              <w:rPr>
                <w:spacing w:val="-1"/>
                <w:sz w:val="21"/>
                <w:szCs w:val="21"/>
                <w:highlight w:val="none"/>
              </w:rPr>
              <w:t>。</w:t>
            </w:r>
          </w:p>
          <w:p w14:paraId="0FEDDE49">
            <w:pPr>
              <w:pStyle w:val="92"/>
              <w:spacing w:before="201" w:line="317" w:lineRule="auto"/>
              <w:ind w:left="106" w:firstLine="423"/>
              <w:rPr>
                <w:sz w:val="21"/>
                <w:szCs w:val="21"/>
                <w:highlight w:val="none"/>
              </w:rPr>
            </w:pPr>
            <w:r>
              <w:rPr>
                <w:spacing w:val="-7"/>
                <w:sz w:val="21"/>
                <w:szCs w:val="21"/>
                <w:highlight w:val="none"/>
              </w:rPr>
              <w:t>（</w:t>
            </w:r>
            <w:r>
              <w:rPr>
                <w:rFonts w:ascii="Times New Roman" w:hAnsi="Times New Roman" w:eastAsia="Times New Roman" w:cs="Times New Roman"/>
                <w:spacing w:val="-7"/>
                <w:sz w:val="21"/>
                <w:szCs w:val="21"/>
                <w:highlight w:val="none"/>
              </w:rPr>
              <w:t>2</w:t>
            </w:r>
            <w:r>
              <w:rPr>
                <w:spacing w:val="-7"/>
                <w:sz w:val="21"/>
                <w:szCs w:val="21"/>
                <w:highlight w:val="none"/>
              </w:rPr>
              <w:t>）如果某区段无区段平均值，则该区段不计区段平均值。如：无</w:t>
            </w:r>
            <w:r>
              <w:rPr>
                <w:spacing w:val="-50"/>
                <w:sz w:val="21"/>
                <w:szCs w:val="21"/>
                <w:highlight w:val="none"/>
              </w:rPr>
              <w:t xml:space="preserve"> </w:t>
            </w:r>
            <w:r>
              <w:rPr>
                <w:rFonts w:ascii="Times New Roman" w:hAnsi="Times New Roman" w:eastAsia="Times New Roman" w:cs="Times New Roman"/>
                <w:spacing w:val="-7"/>
                <w:sz w:val="21"/>
                <w:szCs w:val="21"/>
                <w:highlight w:val="none"/>
              </w:rPr>
              <w:t>B2.1</w:t>
            </w:r>
            <w:r>
              <w:rPr>
                <w:rFonts w:ascii="Times New Roman" w:hAnsi="Times New Roman" w:eastAsia="Times New Roman" w:cs="Times New Roman"/>
                <w:spacing w:val="-30"/>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B2.3</w:t>
            </w:r>
            <w:r>
              <w:rPr>
                <w:rFonts w:ascii="Times New Roman" w:hAnsi="Times New Roman" w:eastAsia="Times New Roman" w:cs="Times New Roman"/>
                <w:spacing w:val="-30"/>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B2.</w:t>
            </w:r>
            <w:r>
              <w:rPr>
                <w:rFonts w:ascii="Times New Roman" w:hAnsi="Times New Roman" w:eastAsia="Times New Roman" w:cs="Times New Roman"/>
                <w:spacing w:val="-8"/>
                <w:sz w:val="21"/>
                <w:szCs w:val="21"/>
                <w:highlight w:val="none"/>
              </w:rPr>
              <w:t>9</w:t>
            </w:r>
            <w:r>
              <w:rPr>
                <w:rFonts w:ascii="Times New Roman" w:hAnsi="Times New Roman" w:eastAsia="Times New Roman" w:cs="Times New Roman"/>
                <w:spacing w:val="-30"/>
                <w:sz w:val="21"/>
                <w:szCs w:val="21"/>
                <w:highlight w:val="none"/>
              </w:rPr>
              <w:t xml:space="preserve"> </w:t>
            </w:r>
            <w:r>
              <w:rPr>
                <w:spacing w:val="-8"/>
                <w:sz w:val="21"/>
                <w:szCs w:val="21"/>
                <w:highlight w:val="none"/>
              </w:rPr>
              <w:t>、</w:t>
            </w:r>
            <w:r>
              <w:rPr>
                <w:rFonts w:ascii="Times New Roman" w:hAnsi="Times New Roman" w:eastAsia="Times New Roman" w:cs="Times New Roman"/>
                <w:spacing w:val="-8"/>
                <w:sz w:val="21"/>
                <w:szCs w:val="21"/>
                <w:highlight w:val="none"/>
              </w:rPr>
              <w:t xml:space="preserve">B2.15 </w:t>
            </w:r>
            <w:r>
              <w:rPr>
                <w:spacing w:val="-8"/>
                <w:sz w:val="21"/>
                <w:szCs w:val="21"/>
                <w:highlight w:val="none"/>
              </w:rPr>
              <w:t>等区段平</w:t>
            </w:r>
            <w:r>
              <w:rPr>
                <w:spacing w:val="-7"/>
                <w:sz w:val="21"/>
                <w:szCs w:val="21"/>
                <w:highlight w:val="none"/>
              </w:rPr>
              <w:t>均值，即</w:t>
            </w:r>
            <w:r>
              <w:rPr>
                <w:spacing w:val="-32"/>
                <w:sz w:val="21"/>
                <w:szCs w:val="21"/>
                <w:highlight w:val="none"/>
              </w:rPr>
              <w:t xml:space="preserve"> </w:t>
            </w:r>
            <w:r>
              <w:rPr>
                <w:rFonts w:ascii="Times New Roman" w:hAnsi="Times New Roman" w:eastAsia="Times New Roman" w:cs="Times New Roman"/>
                <w:spacing w:val="-7"/>
                <w:sz w:val="21"/>
                <w:szCs w:val="21"/>
                <w:highlight w:val="none"/>
              </w:rPr>
              <w:t>B2.1</w:t>
            </w:r>
            <w:r>
              <w:rPr>
                <w:spacing w:val="-7"/>
                <w:sz w:val="21"/>
                <w:szCs w:val="21"/>
                <w:highlight w:val="none"/>
              </w:rPr>
              <w:t>、</w:t>
            </w:r>
            <w:r>
              <w:rPr>
                <w:rFonts w:ascii="Times New Roman" w:hAnsi="Times New Roman" w:eastAsia="Times New Roman" w:cs="Times New Roman"/>
                <w:spacing w:val="-7"/>
                <w:sz w:val="21"/>
                <w:szCs w:val="21"/>
                <w:highlight w:val="none"/>
              </w:rPr>
              <w:t>B2.3</w:t>
            </w:r>
            <w:r>
              <w:rPr>
                <w:spacing w:val="-7"/>
                <w:sz w:val="21"/>
                <w:szCs w:val="21"/>
                <w:highlight w:val="none"/>
              </w:rPr>
              <w:t>、</w:t>
            </w:r>
            <w:r>
              <w:rPr>
                <w:rFonts w:ascii="Times New Roman" w:hAnsi="Times New Roman" w:eastAsia="Times New Roman" w:cs="Times New Roman"/>
                <w:spacing w:val="-7"/>
                <w:sz w:val="21"/>
                <w:szCs w:val="21"/>
                <w:highlight w:val="none"/>
              </w:rPr>
              <w:t>B2.9</w:t>
            </w:r>
            <w:r>
              <w:rPr>
                <w:spacing w:val="-7"/>
                <w:sz w:val="21"/>
                <w:szCs w:val="21"/>
                <w:highlight w:val="none"/>
              </w:rPr>
              <w:t>、</w:t>
            </w:r>
            <w:r>
              <w:rPr>
                <w:rFonts w:ascii="Times New Roman" w:hAnsi="Times New Roman" w:eastAsia="Times New Roman" w:cs="Times New Roman"/>
                <w:spacing w:val="-7"/>
                <w:sz w:val="21"/>
                <w:szCs w:val="21"/>
                <w:highlight w:val="none"/>
              </w:rPr>
              <w:t>B2.15</w:t>
            </w:r>
            <w:r>
              <w:rPr>
                <w:rFonts w:ascii="Times New Roman" w:hAnsi="Times New Roman" w:eastAsia="Times New Roman" w:cs="Times New Roman"/>
                <w:spacing w:val="31"/>
                <w:sz w:val="21"/>
                <w:szCs w:val="21"/>
                <w:highlight w:val="none"/>
              </w:rPr>
              <w:t xml:space="preserve"> </w:t>
            </w:r>
            <w:r>
              <w:rPr>
                <w:spacing w:val="-7"/>
                <w:sz w:val="21"/>
                <w:szCs w:val="21"/>
                <w:highlight w:val="none"/>
              </w:rPr>
              <w:t>以及其权重均等于</w:t>
            </w:r>
            <w:r>
              <w:rPr>
                <w:sz w:val="21"/>
                <w:szCs w:val="21"/>
                <w:highlight w:val="none"/>
              </w:rPr>
              <w:t xml:space="preserve"> </w:t>
            </w:r>
            <w:r>
              <w:rPr>
                <w:rFonts w:ascii="Times New Roman" w:hAnsi="Times New Roman" w:eastAsia="Times New Roman" w:cs="Times New Roman"/>
                <w:spacing w:val="-3"/>
                <w:sz w:val="21"/>
                <w:szCs w:val="21"/>
                <w:highlight w:val="none"/>
              </w:rPr>
              <w:t>0</w:t>
            </w:r>
            <w:r>
              <w:rPr>
                <w:spacing w:val="-3"/>
                <w:sz w:val="21"/>
                <w:szCs w:val="21"/>
                <w:highlight w:val="none"/>
              </w:rPr>
              <w:t>，则评标价平均值</w:t>
            </w:r>
            <w:r>
              <w:rPr>
                <w:spacing w:val="-50"/>
                <w:sz w:val="21"/>
                <w:szCs w:val="21"/>
                <w:highlight w:val="none"/>
              </w:rPr>
              <w:t xml:space="preserve"> </w:t>
            </w:r>
            <w:r>
              <w:rPr>
                <w:rFonts w:ascii="Times New Roman" w:hAnsi="Times New Roman" w:eastAsia="Times New Roman" w:cs="Times New Roman"/>
                <w:spacing w:val="-3"/>
                <w:sz w:val="21"/>
                <w:szCs w:val="21"/>
                <w:highlight w:val="none"/>
              </w:rPr>
              <w:t>B=[0.0*0.0+0.3*B2.2+0.0*0.0+1.0*</w:t>
            </w:r>
            <w:r>
              <w:rPr>
                <w:rFonts w:ascii="Times New Roman" w:hAnsi="Times New Roman" w:eastAsia="Times New Roman" w:cs="Times New Roman"/>
                <w:sz w:val="21"/>
                <w:szCs w:val="21"/>
                <w:highlight w:val="none"/>
              </w:rPr>
              <w:t xml:space="preserve"> </w:t>
            </w:r>
            <w:r>
              <w:rPr>
                <w:spacing w:val="-2"/>
                <w:sz w:val="21"/>
                <w:szCs w:val="21"/>
                <w:highlight w:val="none"/>
              </w:rPr>
              <w:t>（</w:t>
            </w:r>
            <w:r>
              <w:rPr>
                <w:rFonts w:ascii="Times New Roman" w:hAnsi="Times New Roman" w:eastAsia="Times New Roman" w:cs="Times New Roman"/>
                <w:spacing w:val="-2"/>
                <w:sz w:val="21"/>
                <w:szCs w:val="21"/>
                <w:highlight w:val="none"/>
              </w:rPr>
              <w:t>B2.4+B2.5+</w:t>
            </w:r>
            <w:r>
              <w:rPr>
                <w:spacing w:val="-2"/>
                <w:sz w:val="21"/>
                <w:szCs w:val="21"/>
                <w:highlight w:val="none"/>
              </w:rPr>
              <w:t>……</w:t>
            </w:r>
            <w:r>
              <w:rPr>
                <w:rFonts w:ascii="Times New Roman" w:hAnsi="Times New Roman" w:eastAsia="Times New Roman" w:cs="Times New Roman"/>
                <w:spacing w:val="-2"/>
                <w:sz w:val="21"/>
                <w:szCs w:val="21"/>
                <w:highlight w:val="none"/>
              </w:rPr>
              <w:t>+B2.8+0.0+B2.1</w:t>
            </w:r>
            <w:r>
              <w:rPr>
                <w:rFonts w:ascii="Times New Roman" w:hAnsi="Times New Roman" w:eastAsia="Times New Roman" w:cs="Times New Roman"/>
                <w:spacing w:val="-3"/>
                <w:sz w:val="21"/>
                <w:szCs w:val="21"/>
                <w:highlight w:val="none"/>
              </w:rPr>
              <w:t>0+</w:t>
            </w:r>
            <w:r>
              <w:rPr>
                <w:spacing w:val="-3"/>
                <w:sz w:val="21"/>
                <w:szCs w:val="21"/>
                <w:highlight w:val="none"/>
              </w:rPr>
              <w:t>……</w:t>
            </w:r>
            <w:r>
              <w:rPr>
                <w:rFonts w:ascii="Times New Roman" w:hAnsi="Times New Roman" w:eastAsia="Times New Roman" w:cs="Times New Roman"/>
                <w:spacing w:val="-3"/>
                <w:sz w:val="21"/>
                <w:szCs w:val="21"/>
                <w:highlight w:val="none"/>
              </w:rPr>
              <w:t>B2.12+B2.13</w:t>
            </w:r>
            <w:r>
              <w:rPr>
                <w:spacing w:val="-3"/>
                <w:sz w:val="21"/>
                <w:szCs w:val="21"/>
                <w:highlight w:val="none"/>
              </w:rPr>
              <w:t>）</w:t>
            </w:r>
            <w:r>
              <w:rPr>
                <w:sz w:val="21"/>
                <w:szCs w:val="21"/>
                <w:highlight w:val="none"/>
              </w:rPr>
              <w:t xml:space="preserve"> </w:t>
            </w:r>
            <w:r>
              <w:rPr>
                <w:rFonts w:ascii="Times New Roman" w:hAnsi="Times New Roman" w:eastAsia="Times New Roman" w:cs="Times New Roman"/>
                <w:spacing w:val="-2"/>
                <w:sz w:val="21"/>
                <w:szCs w:val="21"/>
                <w:highlight w:val="none"/>
              </w:rPr>
              <w:t>+0.5*B2.14+0.0*0.0+0.1*B2.16]/[0.0+0.3+0.0+1.0+1.0+</w:t>
            </w:r>
            <w:r>
              <w:rPr>
                <w:rFonts w:ascii="Times New Roman" w:hAnsi="Times New Roman" w:eastAsia="Times New Roman" w:cs="Times New Roman"/>
                <w:spacing w:val="3"/>
                <w:sz w:val="21"/>
                <w:szCs w:val="21"/>
                <w:highlight w:val="none"/>
              </w:rPr>
              <w:t xml:space="preserve">   </w:t>
            </w:r>
            <w:r>
              <w:rPr>
                <w:rFonts w:ascii="Times New Roman" w:hAnsi="Times New Roman" w:eastAsia="Times New Roman" w:cs="Times New Roman"/>
                <w:spacing w:val="-2"/>
                <w:sz w:val="21"/>
                <w:szCs w:val="21"/>
                <w:highlight w:val="none"/>
              </w:rPr>
              <w:t>1.0+1.0+1.0+0.0+1.0+1.0+1.0+1.0+0.5+0.0+0.1]</w:t>
            </w:r>
            <w:r>
              <w:rPr>
                <w:spacing w:val="-2"/>
                <w:sz w:val="21"/>
                <w:szCs w:val="21"/>
                <w:highlight w:val="none"/>
              </w:rPr>
              <w:t>。</w:t>
            </w:r>
          </w:p>
          <w:p w14:paraId="0B12D78C">
            <w:pPr>
              <w:pStyle w:val="92"/>
              <w:spacing w:before="197" w:line="219" w:lineRule="auto"/>
              <w:ind w:left="531"/>
              <w:rPr>
                <w:rFonts w:ascii="Times New Roman" w:hAnsi="Times New Roman" w:eastAsia="Times New Roman" w:cs="Times New Roman"/>
                <w:sz w:val="21"/>
                <w:szCs w:val="21"/>
                <w:highlight w:val="none"/>
              </w:rPr>
            </w:pPr>
            <w:r>
              <w:rPr>
                <w:b/>
                <w:bCs/>
                <w:spacing w:val="-2"/>
                <w:sz w:val="21"/>
                <w:szCs w:val="21"/>
                <w:highlight w:val="none"/>
              </w:rPr>
              <w:t>三、评标价平均值（</w:t>
            </w:r>
            <w:r>
              <w:rPr>
                <w:rFonts w:ascii="Times New Roman" w:hAnsi="Times New Roman" w:eastAsia="Times New Roman" w:cs="Times New Roman"/>
                <w:b/>
                <w:bCs/>
                <w:spacing w:val="-2"/>
                <w:sz w:val="21"/>
                <w:szCs w:val="21"/>
                <w:highlight w:val="none"/>
              </w:rPr>
              <w:t>B</w:t>
            </w:r>
            <w:r>
              <w:rPr>
                <w:b/>
                <w:bCs/>
                <w:spacing w:val="-2"/>
                <w:sz w:val="21"/>
                <w:szCs w:val="21"/>
                <w:highlight w:val="none"/>
              </w:rPr>
              <w:t>）计算方法</w:t>
            </w:r>
            <w:r>
              <w:rPr>
                <w:spacing w:val="-44"/>
                <w:sz w:val="21"/>
                <w:szCs w:val="21"/>
                <w:highlight w:val="none"/>
              </w:rPr>
              <w:t xml:space="preserve"> </w:t>
            </w:r>
            <w:r>
              <w:rPr>
                <w:rFonts w:ascii="Times New Roman" w:hAnsi="Times New Roman" w:eastAsia="Times New Roman" w:cs="Times New Roman"/>
                <w:b/>
                <w:bCs/>
                <w:spacing w:val="-2"/>
                <w:sz w:val="21"/>
                <w:szCs w:val="21"/>
                <w:highlight w:val="none"/>
              </w:rPr>
              <w:t>2</w:t>
            </w:r>
          </w:p>
          <w:p w14:paraId="47531101">
            <w:pPr>
              <w:pStyle w:val="92"/>
              <w:spacing w:before="113" w:line="317" w:lineRule="auto"/>
              <w:ind w:left="112" w:right="102" w:firstLine="418"/>
              <w:jc w:val="both"/>
              <w:rPr>
                <w:sz w:val="21"/>
                <w:szCs w:val="21"/>
                <w:highlight w:val="none"/>
              </w:rPr>
            </w:pPr>
            <w:r>
              <w:rPr>
                <w:spacing w:val="-1"/>
                <w:sz w:val="21"/>
                <w:szCs w:val="21"/>
                <w:highlight w:val="none"/>
              </w:rPr>
              <w:t>根据所有参加评标价平均值计算的评标价（个数</w:t>
            </w:r>
            <w:r>
              <w:rPr>
                <w:spacing w:val="-4"/>
                <w:sz w:val="21"/>
                <w:szCs w:val="21"/>
                <w:highlight w:val="none"/>
              </w:rPr>
              <w:t>用</w:t>
            </w:r>
            <w:r>
              <w:rPr>
                <w:spacing w:val="-41"/>
                <w:sz w:val="21"/>
                <w:szCs w:val="21"/>
                <w:highlight w:val="none"/>
              </w:rPr>
              <w:t xml:space="preserve"> </w:t>
            </w:r>
            <w:r>
              <w:rPr>
                <w:rFonts w:ascii="Times New Roman" w:hAnsi="Times New Roman" w:eastAsia="Times New Roman" w:cs="Times New Roman"/>
                <w:spacing w:val="-4"/>
                <w:sz w:val="21"/>
                <w:szCs w:val="21"/>
                <w:highlight w:val="none"/>
              </w:rPr>
              <w:t xml:space="preserve">P </w:t>
            </w:r>
            <w:r>
              <w:rPr>
                <w:spacing w:val="-4"/>
                <w:sz w:val="21"/>
                <w:szCs w:val="21"/>
                <w:highlight w:val="none"/>
              </w:rPr>
              <w:t>表示）计算评标价平均值（</w:t>
            </w:r>
            <w:r>
              <w:rPr>
                <w:rFonts w:ascii="Times New Roman" w:hAnsi="Times New Roman" w:eastAsia="Times New Roman" w:cs="Times New Roman"/>
                <w:spacing w:val="-4"/>
                <w:sz w:val="21"/>
                <w:szCs w:val="21"/>
                <w:highlight w:val="none"/>
              </w:rPr>
              <w:t>B</w:t>
            </w:r>
            <w:r>
              <w:rPr>
                <w:spacing w:val="-4"/>
                <w:sz w:val="21"/>
                <w:szCs w:val="21"/>
                <w:highlight w:val="none"/>
              </w:rPr>
              <w:t>）。</w:t>
            </w:r>
            <w:r>
              <w:rPr>
                <w:rFonts w:ascii="Times New Roman" w:hAnsi="Times New Roman" w:eastAsia="Times New Roman" w:cs="Times New Roman"/>
                <w:spacing w:val="-4"/>
                <w:sz w:val="21"/>
                <w:szCs w:val="21"/>
                <w:highlight w:val="none"/>
              </w:rPr>
              <w:t xml:space="preserve">C </w:t>
            </w:r>
            <w:r>
              <w:rPr>
                <w:spacing w:val="-4"/>
                <w:sz w:val="21"/>
                <w:szCs w:val="21"/>
                <w:highlight w:val="none"/>
              </w:rPr>
              <w:t>为招标人设定</w:t>
            </w:r>
            <w:r>
              <w:rPr>
                <w:spacing w:val="-1"/>
                <w:sz w:val="21"/>
                <w:szCs w:val="21"/>
                <w:highlight w:val="none"/>
              </w:rPr>
              <w:t>的最高投标限价。评标价平均值保留七位小数，小数</w:t>
            </w:r>
            <w:r>
              <w:rPr>
                <w:spacing w:val="-4"/>
                <w:sz w:val="21"/>
                <w:szCs w:val="21"/>
                <w:highlight w:val="none"/>
              </w:rPr>
              <w:t>点后第八位“四舍五入”。</w:t>
            </w:r>
          </w:p>
          <w:p w14:paraId="02782192">
            <w:pPr>
              <w:pStyle w:val="92"/>
              <w:spacing w:before="155" w:line="284" w:lineRule="auto"/>
              <w:ind w:left="112" w:right="102" w:firstLine="434"/>
              <w:rPr>
                <w:sz w:val="21"/>
                <w:szCs w:val="21"/>
                <w:highlight w:val="none"/>
              </w:rPr>
            </w:pPr>
            <w:r>
              <w:rPr>
                <w:rFonts w:ascii="Times New Roman" w:hAnsi="Times New Roman" w:eastAsia="Times New Roman" w:cs="Times New Roman"/>
                <w:spacing w:val="-4"/>
                <w:sz w:val="21"/>
                <w:szCs w:val="21"/>
                <w:highlight w:val="none"/>
              </w:rPr>
              <w:t>1</w:t>
            </w:r>
            <w:r>
              <w:rPr>
                <w:spacing w:val="-4"/>
                <w:sz w:val="21"/>
                <w:szCs w:val="21"/>
                <w:highlight w:val="none"/>
              </w:rPr>
              <w:t>、当</w:t>
            </w:r>
            <w:r>
              <w:rPr>
                <w:spacing w:val="-49"/>
                <w:sz w:val="21"/>
                <w:szCs w:val="21"/>
                <w:highlight w:val="none"/>
              </w:rPr>
              <w:t xml:space="preserve"> </w:t>
            </w:r>
            <w:r>
              <w:rPr>
                <w:rFonts w:ascii="Times New Roman" w:hAnsi="Times New Roman" w:eastAsia="Times New Roman" w:cs="Times New Roman"/>
                <w:spacing w:val="-4"/>
                <w:sz w:val="21"/>
                <w:szCs w:val="21"/>
                <w:highlight w:val="none"/>
              </w:rPr>
              <w:t>P=0</w:t>
            </w:r>
            <w:r>
              <w:rPr>
                <w:rFonts w:ascii="Times New Roman" w:hAnsi="Times New Roman" w:eastAsia="Times New Roman" w:cs="Times New Roman"/>
                <w:spacing w:val="18"/>
                <w:sz w:val="21"/>
                <w:szCs w:val="21"/>
                <w:highlight w:val="none"/>
              </w:rPr>
              <w:t xml:space="preserve"> </w:t>
            </w:r>
            <w:r>
              <w:rPr>
                <w:spacing w:val="-4"/>
                <w:sz w:val="21"/>
                <w:szCs w:val="21"/>
                <w:highlight w:val="none"/>
              </w:rPr>
              <w:t>时，即所有评标价均低于</w:t>
            </w:r>
            <w:r>
              <w:rPr>
                <w:rFonts w:ascii="Times New Roman" w:hAnsi="Times New Roman" w:eastAsia="Times New Roman" w:cs="Times New Roman"/>
                <w:spacing w:val="-4"/>
                <w:sz w:val="21"/>
                <w:szCs w:val="21"/>
                <w:highlight w:val="none"/>
                <w:u w:val="single" w:color="auto"/>
              </w:rPr>
              <w:t xml:space="preserve">    G    </w:t>
            </w:r>
            <w:r>
              <w:rPr>
                <w:rFonts w:ascii="Times New Roman" w:hAnsi="Times New Roman" w:eastAsia="Times New Roman" w:cs="Times New Roman"/>
                <w:spacing w:val="-46"/>
                <w:sz w:val="21"/>
                <w:szCs w:val="21"/>
                <w:highlight w:val="none"/>
              </w:rPr>
              <w:t xml:space="preserve"> </w:t>
            </w:r>
            <w:r>
              <w:rPr>
                <w:rFonts w:ascii="Times New Roman" w:hAnsi="Times New Roman" w:eastAsia="Times New Roman" w:cs="Times New Roman"/>
                <w:spacing w:val="-4"/>
                <w:sz w:val="21"/>
                <w:szCs w:val="21"/>
                <w:highlight w:val="none"/>
              </w:rPr>
              <w:t>%*C</w:t>
            </w:r>
            <w:r>
              <w:rPr>
                <w:rFonts w:ascii="Times New Roman" w:hAnsi="Times New Roman" w:eastAsia="Times New Roman" w:cs="Times New Roman"/>
                <w:spacing w:val="-5"/>
                <w:sz w:val="21"/>
                <w:szCs w:val="21"/>
                <w:highlight w:val="none"/>
              </w:rPr>
              <w:t xml:space="preserve"> </w:t>
            </w:r>
            <w:r>
              <w:rPr>
                <w:spacing w:val="-5"/>
                <w:sz w:val="21"/>
                <w:szCs w:val="21"/>
                <w:highlight w:val="none"/>
              </w:rPr>
              <w:t>值</w:t>
            </w:r>
            <w:r>
              <w:rPr>
                <w:spacing w:val="-1"/>
                <w:sz w:val="21"/>
                <w:szCs w:val="21"/>
                <w:highlight w:val="none"/>
              </w:rPr>
              <w:t>（最高投标限价的</w:t>
            </w:r>
            <w:r>
              <w:rPr>
                <w:spacing w:val="-88"/>
                <w:sz w:val="21"/>
                <w:szCs w:val="21"/>
                <w:highlight w:val="none"/>
              </w:rPr>
              <w:t xml:space="preserve"> </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w:t>
            </w:r>
            <w:r>
              <w:rPr>
                <w:spacing w:val="-4"/>
                <w:sz w:val="21"/>
                <w:szCs w:val="21"/>
                <w:highlight w:val="none"/>
              </w:rPr>
              <w:t>），</w:t>
            </w:r>
            <w:r>
              <w:rPr>
                <w:spacing w:val="-1"/>
                <w:sz w:val="21"/>
                <w:szCs w:val="21"/>
                <w:highlight w:val="none"/>
              </w:rPr>
              <w:t>则评标价平均值（</w:t>
            </w:r>
            <w:r>
              <w:rPr>
                <w:rFonts w:ascii="Times New Roman" w:hAnsi="Times New Roman" w:eastAsia="Times New Roman" w:cs="Times New Roman"/>
                <w:spacing w:val="-1"/>
                <w:sz w:val="21"/>
                <w:szCs w:val="21"/>
                <w:highlight w:val="none"/>
              </w:rPr>
              <w:t>B</w:t>
            </w:r>
            <w:r>
              <w:rPr>
                <w:spacing w:val="-1"/>
                <w:sz w:val="21"/>
                <w:szCs w:val="21"/>
                <w:highlight w:val="none"/>
              </w:rPr>
              <w:t>）直接为</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38"/>
                <w:sz w:val="21"/>
                <w:szCs w:val="21"/>
                <w:highlight w:val="none"/>
              </w:rPr>
              <w:t xml:space="preserve"> </w:t>
            </w:r>
            <w:r>
              <w:rPr>
                <w:rFonts w:ascii="Times New Roman" w:hAnsi="Times New Roman" w:eastAsia="Times New Roman" w:cs="Times New Roman"/>
                <w:spacing w:val="-1"/>
                <w:sz w:val="21"/>
                <w:szCs w:val="21"/>
                <w:highlight w:val="none"/>
              </w:rPr>
              <w:t xml:space="preserve">*C </w:t>
            </w:r>
            <w:r>
              <w:rPr>
                <w:spacing w:val="-1"/>
                <w:sz w:val="21"/>
                <w:szCs w:val="21"/>
                <w:highlight w:val="none"/>
              </w:rPr>
              <w:t>值（最高投标限价的</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2"/>
                <w:sz w:val="21"/>
                <w:szCs w:val="21"/>
                <w:highlight w:val="none"/>
                <w:u w:val="single" w:color="auto"/>
              </w:rPr>
              <w:t xml:space="preserve">  </w:t>
            </w:r>
            <w:r>
              <w:rPr>
                <w:spacing w:val="-2"/>
                <w:sz w:val="21"/>
                <w:szCs w:val="21"/>
                <w:highlight w:val="none"/>
              </w:rPr>
              <w:t>）。</w:t>
            </w:r>
          </w:p>
          <w:p w14:paraId="380A1C14">
            <w:pPr>
              <w:pStyle w:val="92"/>
              <w:spacing w:before="271" w:line="268" w:lineRule="auto"/>
              <w:ind w:left="112" w:right="101" w:firstLine="415"/>
              <w:rPr>
                <w:sz w:val="21"/>
                <w:szCs w:val="21"/>
                <w:highlight w:val="none"/>
              </w:rPr>
            </w:pPr>
            <w:r>
              <w:rPr>
                <w:rFonts w:ascii="Times New Roman" w:hAnsi="Times New Roman" w:eastAsia="Times New Roman" w:cs="Times New Roman"/>
                <w:spacing w:val="-2"/>
                <w:sz w:val="21"/>
                <w:szCs w:val="21"/>
                <w:highlight w:val="none"/>
              </w:rPr>
              <w:t>2</w:t>
            </w:r>
            <w:r>
              <w:rPr>
                <w:spacing w:val="-2"/>
                <w:sz w:val="21"/>
                <w:szCs w:val="21"/>
                <w:highlight w:val="none"/>
              </w:rPr>
              <w:t>、当</w:t>
            </w:r>
            <w:r>
              <w:rPr>
                <w:spacing w:val="-38"/>
                <w:sz w:val="21"/>
                <w:szCs w:val="21"/>
                <w:highlight w:val="none"/>
              </w:rPr>
              <w:t xml:space="preserve"> </w:t>
            </w:r>
            <w:r>
              <w:rPr>
                <w:rFonts w:ascii="Times New Roman" w:hAnsi="Times New Roman" w:eastAsia="Times New Roman" w:cs="Times New Roman"/>
                <w:spacing w:val="-2"/>
                <w:sz w:val="21"/>
                <w:szCs w:val="21"/>
                <w:highlight w:val="none"/>
              </w:rPr>
              <w:t>0</w:t>
            </w:r>
            <w:r>
              <w:rPr>
                <w:spacing w:val="-2"/>
                <w:sz w:val="21"/>
                <w:szCs w:val="21"/>
                <w:highlight w:val="none"/>
              </w:rPr>
              <w:t>＜</w:t>
            </w:r>
            <w:r>
              <w:rPr>
                <w:rFonts w:ascii="Times New Roman" w:hAnsi="Times New Roman" w:eastAsia="Times New Roman" w:cs="Times New Roman"/>
                <w:spacing w:val="-2"/>
                <w:sz w:val="21"/>
                <w:szCs w:val="21"/>
                <w:highlight w:val="none"/>
              </w:rPr>
              <w:t>P</w:t>
            </w:r>
            <w:r>
              <w:rPr>
                <w:spacing w:val="-2"/>
                <w:sz w:val="21"/>
                <w:szCs w:val="21"/>
                <w:highlight w:val="none"/>
              </w:rPr>
              <w:t>≤</w:t>
            </w:r>
            <w:r>
              <w:rPr>
                <w:rFonts w:ascii="Times New Roman" w:hAnsi="Times New Roman" w:eastAsia="Times New Roman" w:cs="Times New Roman"/>
                <w:spacing w:val="-2"/>
                <w:sz w:val="21"/>
                <w:szCs w:val="21"/>
                <w:highlight w:val="none"/>
              </w:rPr>
              <w:t>5</w:t>
            </w:r>
            <w:r>
              <w:rPr>
                <w:rFonts w:ascii="Times New Roman" w:hAnsi="Times New Roman" w:eastAsia="Times New Roman" w:cs="Times New Roman"/>
                <w:spacing w:val="18"/>
                <w:w w:val="101"/>
                <w:sz w:val="21"/>
                <w:szCs w:val="21"/>
                <w:highlight w:val="none"/>
              </w:rPr>
              <w:t xml:space="preserve"> </w:t>
            </w:r>
            <w:r>
              <w:rPr>
                <w:spacing w:val="-2"/>
                <w:sz w:val="21"/>
                <w:szCs w:val="21"/>
                <w:highlight w:val="none"/>
              </w:rPr>
              <w:t>时，评标价平均值（</w:t>
            </w:r>
            <w:r>
              <w:rPr>
                <w:rFonts w:ascii="Times New Roman" w:hAnsi="Times New Roman" w:eastAsia="Times New Roman" w:cs="Times New Roman"/>
                <w:spacing w:val="-2"/>
                <w:sz w:val="21"/>
                <w:szCs w:val="21"/>
                <w:highlight w:val="none"/>
              </w:rPr>
              <w:t>B</w:t>
            </w:r>
            <w:r>
              <w:rPr>
                <w:spacing w:val="-2"/>
                <w:sz w:val="21"/>
                <w:szCs w:val="21"/>
                <w:highlight w:val="none"/>
              </w:rPr>
              <w:t>）为</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w:t>
            </w:r>
            <w:r>
              <w:rPr>
                <w:spacing w:val="-4"/>
                <w:sz w:val="21"/>
                <w:szCs w:val="21"/>
                <w:highlight w:val="none"/>
              </w:rPr>
              <w:t>标价的算术平均值。</w:t>
            </w:r>
          </w:p>
          <w:p w14:paraId="0610843D">
            <w:pPr>
              <w:pStyle w:val="92"/>
              <w:spacing w:before="271" w:line="284" w:lineRule="auto"/>
              <w:ind w:left="112" w:right="102" w:firstLine="419"/>
              <w:rPr>
                <w:sz w:val="21"/>
                <w:szCs w:val="21"/>
                <w:highlight w:val="none"/>
              </w:rPr>
            </w:pPr>
            <w:r>
              <w:rPr>
                <w:rFonts w:ascii="Times New Roman" w:hAnsi="Times New Roman" w:eastAsia="Times New Roman" w:cs="Times New Roman"/>
                <w:spacing w:val="-6"/>
                <w:sz w:val="21"/>
                <w:szCs w:val="21"/>
                <w:highlight w:val="none"/>
              </w:rPr>
              <w:t>3</w:t>
            </w:r>
            <w:r>
              <w:rPr>
                <w:spacing w:val="-6"/>
                <w:sz w:val="21"/>
                <w:szCs w:val="21"/>
                <w:highlight w:val="none"/>
              </w:rPr>
              <w:t>、当</w:t>
            </w:r>
            <w:r>
              <w:rPr>
                <w:spacing w:val="-34"/>
                <w:sz w:val="21"/>
                <w:szCs w:val="21"/>
                <w:highlight w:val="none"/>
              </w:rPr>
              <w:t xml:space="preserve"> </w:t>
            </w:r>
            <w:r>
              <w:rPr>
                <w:rFonts w:ascii="Times New Roman" w:hAnsi="Times New Roman" w:eastAsia="Times New Roman" w:cs="Times New Roman"/>
                <w:spacing w:val="-6"/>
                <w:sz w:val="21"/>
                <w:szCs w:val="21"/>
                <w:highlight w:val="none"/>
              </w:rPr>
              <w:t>6</w:t>
            </w:r>
            <w:r>
              <w:rPr>
                <w:spacing w:val="-6"/>
                <w:sz w:val="21"/>
                <w:szCs w:val="21"/>
                <w:highlight w:val="none"/>
              </w:rPr>
              <w:t>≤</w:t>
            </w:r>
            <w:r>
              <w:rPr>
                <w:rFonts w:ascii="Times New Roman" w:hAnsi="Times New Roman" w:eastAsia="Times New Roman" w:cs="Times New Roman"/>
                <w:spacing w:val="-6"/>
                <w:sz w:val="21"/>
                <w:szCs w:val="21"/>
                <w:highlight w:val="none"/>
              </w:rPr>
              <w:t>P</w:t>
            </w:r>
            <w:r>
              <w:rPr>
                <w:spacing w:val="-6"/>
                <w:sz w:val="21"/>
                <w:szCs w:val="21"/>
                <w:highlight w:val="none"/>
              </w:rPr>
              <w:t>≤</w:t>
            </w:r>
            <w:r>
              <w:rPr>
                <w:rFonts w:ascii="Times New Roman" w:hAnsi="Times New Roman" w:eastAsia="Times New Roman" w:cs="Times New Roman"/>
                <w:spacing w:val="-6"/>
                <w:sz w:val="21"/>
                <w:szCs w:val="21"/>
                <w:highlight w:val="none"/>
              </w:rPr>
              <w:t>9</w:t>
            </w:r>
            <w:r>
              <w:rPr>
                <w:rFonts w:ascii="Times New Roman" w:hAnsi="Times New Roman" w:eastAsia="Times New Roman" w:cs="Times New Roman"/>
                <w:spacing w:val="18"/>
                <w:sz w:val="21"/>
                <w:szCs w:val="21"/>
                <w:highlight w:val="none"/>
              </w:rPr>
              <w:t xml:space="preserve"> </w:t>
            </w:r>
            <w:r>
              <w:rPr>
                <w:spacing w:val="-6"/>
                <w:sz w:val="21"/>
                <w:szCs w:val="21"/>
                <w:highlight w:val="none"/>
              </w:rPr>
              <w:t>时，在</w:t>
            </w:r>
            <w:r>
              <w:rPr>
                <w:spacing w:val="-49"/>
                <w:sz w:val="21"/>
                <w:szCs w:val="21"/>
                <w:highlight w:val="none"/>
              </w:rPr>
              <w:t xml:space="preserve"> </w:t>
            </w:r>
            <w:r>
              <w:rPr>
                <w:rFonts w:ascii="Times New Roman" w:hAnsi="Times New Roman" w:eastAsia="Times New Roman" w:cs="Times New Roman"/>
                <w:spacing w:val="-6"/>
                <w:sz w:val="21"/>
                <w:szCs w:val="21"/>
                <w:highlight w:val="none"/>
              </w:rPr>
              <w:t xml:space="preserve">P </w:t>
            </w:r>
            <w:r>
              <w:rPr>
                <w:spacing w:val="-6"/>
                <w:sz w:val="21"/>
                <w:szCs w:val="21"/>
                <w:highlight w:val="none"/>
              </w:rPr>
              <w:t>个评标价中，去掉</w:t>
            </w:r>
            <w:r>
              <w:rPr>
                <w:spacing w:val="-28"/>
                <w:sz w:val="21"/>
                <w:szCs w:val="21"/>
                <w:highlight w:val="none"/>
              </w:rPr>
              <w:t xml:space="preserve"> </w:t>
            </w:r>
            <w:r>
              <w:rPr>
                <w:rFonts w:ascii="Times New Roman" w:hAnsi="Times New Roman" w:eastAsia="Times New Roman" w:cs="Times New Roman"/>
                <w:spacing w:val="-6"/>
                <w:sz w:val="21"/>
                <w:szCs w:val="21"/>
                <w:highlight w:val="none"/>
              </w:rPr>
              <w:t xml:space="preserve">1 </w:t>
            </w:r>
            <w:r>
              <w:rPr>
                <w:spacing w:val="-6"/>
                <w:sz w:val="21"/>
                <w:szCs w:val="21"/>
                <w:highlight w:val="none"/>
              </w:rPr>
              <w:t>个最</w:t>
            </w:r>
            <w:r>
              <w:rPr>
                <w:spacing w:val="-2"/>
                <w:sz w:val="21"/>
                <w:szCs w:val="21"/>
                <w:highlight w:val="none"/>
              </w:rPr>
              <w:t>高值和</w:t>
            </w:r>
            <w:r>
              <w:rPr>
                <w:spacing w:val="-15"/>
                <w:sz w:val="21"/>
                <w:szCs w:val="21"/>
                <w:highlight w:val="none"/>
              </w:rPr>
              <w:t xml:space="preserve"> </w:t>
            </w:r>
            <w:r>
              <w:rPr>
                <w:rFonts w:ascii="Times New Roman" w:hAnsi="Times New Roman" w:eastAsia="Times New Roman" w:cs="Times New Roman"/>
                <w:spacing w:val="-2"/>
                <w:sz w:val="21"/>
                <w:szCs w:val="21"/>
                <w:highlight w:val="none"/>
              </w:rPr>
              <w:t xml:space="preserve">1 </w:t>
            </w:r>
            <w:r>
              <w:rPr>
                <w:spacing w:val="-2"/>
                <w:sz w:val="21"/>
                <w:szCs w:val="21"/>
                <w:highlight w:val="none"/>
              </w:rPr>
              <w:t>个最低值后的其余评标价的算术平均值为评</w:t>
            </w:r>
            <w:r>
              <w:rPr>
                <w:spacing w:val="-3"/>
                <w:sz w:val="21"/>
                <w:szCs w:val="21"/>
                <w:highlight w:val="none"/>
              </w:rPr>
              <w:t>标价平均值（</w:t>
            </w:r>
            <w:r>
              <w:rPr>
                <w:rFonts w:ascii="Times New Roman" w:hAnsi="Times New Roman" w:eastAsia="Times New Roman" w:cs="Times New Roman"/>
                <w:spacing w:val="-3"/>
                <w:sz w:val="21"/>
                <w:szCs w:val="21"/>
                <w:highlight w:val="none"/>
              </w:rPr>
              <w:t>B</w:t>
            </w:r>
            <w:r>
              <w:rPr>
                <w:spacing w:val="-3"/>
                <w:sz w:val="21"/>
                <w:szCs w:val="21"/>
                <w:highlight w:val="none"/>
              </w:rPr>
              <w:t>）。</w:t>
            </w:r>
          </w:p>
          <w:p w14:paraId="5A936047">
            <w:pPr>
              <w:pStyle w:val="92"/>
              <w:spacing w:before="107" w:line="219" w:lineRule="auto"/>
              <w:ind w:left="110"/>
              <w:rPr>
                <w:sz w:val="21"/>
                <w:szCs w:val="21"/>
                <w:highlight w:val="none"/>
              </w:rPr>
            </w:pPr>
            <w:r>
              <w:rPr>
                <w:rFonts w:ascii="Times New Roman" w:hAnsi="Times New Roman" w:eastAsia="Times New Roman" w:cs="Times New Roman"/>
                <w:spacing w:val="-2"/>
                <w:sz w:val="21"/>
                <w:szCs w:val="21"/>
                <w:highlight w:val="none"/>
              </w:rPr>
              <w:t>4</w:t>
            </w:r>
            <w:r>
              <w:rPr>
                <w:spacing w:val="-2"/>
                <w:sz w:val="21"/>
                <w:szCs w:val="21"/>
                <w:highlight w:val="none"/>
              </w:rPr>
              <w:t>、当</w:t>
            </w:r>
            <w:r>
              <w:rPr>
                <w:spacing w:val="-29"/>
                <w:sz w:val="21"/>
                <w:szCs w:val="21"/>
                <w:highlight w:val="none"/>
              </w:rPr>
              <w:t xml:space="preserve"> </w:t>
            </w:r>
            <w:r>
              <w:rPr>
                <w:rFonts w:ascii="Times New Roman" w:hAnsi="Times New Roman" w:eastAsia="Times New Roman" w:cs="Times New Roman"/>
                <w:spacing w:val="-2"/>
                <w:sz w:val="21"/>
                <w:szCs w:val="21"/>
                <w:highlight w:val="none"/>
              </w:rPr>
              <w:t>P</w:t>
            </w:r>
            <w:r>
              <w:rPr>
                <w:spacing w:val="-2"/>
                <w:sz w:val="21"/>
                <w:szCs w:val="21"/>
                <w:highlight w:val="none"/>
              </w:rPr>
              <w:t>≥</w:t>
            </w:r>
            <w:r>
              <w:rPr>
                <w:rFonts w:ascii="Times New Roman" w:hAnsi="Times New Roman" w:eastAsia="Times New Roman" w:cs="Times New Roman"/>
                <w:spacing w:val="-2"/>
                <w:sz w:val="21"/>
                <w:szCs w:val="21"/>
                <w:highlight w:val="none"/>
              </w:rPr>
              <w:t>10</w:t>
            </w:r>
            <w:r>
              <w:rPr>
                <w:rFonts w:ascii="Times New Roman" w:hAnsi="Times New Roman" w:eastAsia="Times New Roman" w:cs="Times New Roman"/>
                <w:spacing w:val="18"/>
                <w:sz w:val="21"/>
                <w:szCs w:val="21"/>
                <w:highlight w:val="none"/>
              </w:rPr>
              <w:t xml:space="preserve"> </w:t>
            </w:r>
            <w:r>
              <w:rPr>
                <w:spacing w:val="-2"/>
                <w:sz w:val="21"/>
                <w:szCs w:val="21"/>
                <w:highlight w:val="none"/>
              </w:rPr>
              <w:t>时，在</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个评标价中，去掉</w:t>
            </w:r>
            <w:r>
              <w:rPr>
                <w:spacing w:val="-49"/>
                <w:sz w:val="21"/>
                <w:szCs w:val="21"/>
                <w:highlight w:val="none"/>
              </w:rPr>
              <w:t xml:space="preserve"> </w:t>
            </w:r>
            <w:r>
              <w:rPr>
                <w:rFonts w:ascii="Times New Roman" w:hAnsi="Times New Roman" w:eastAsia="Times New Roman" w:cs="Times New Roman"/>
                <w:spacing w:val="-2"/>
                <w:sz w:val="21"/>
                <w:szCs w:val="21"/>
                <w:highlight w:val="none"/>
              </w:rPr>
              <w:t>P1</w:t>
            </w:r>
            <w:r>
              <w:rPr>
                <w:rFonts w:ascii="Times New Roman" w:hAnsi="Times New Roman" w:eastAsia="Times New Roman" w:cs="Times New Roman"/>
                <w:spacing w:val="-3"/>
                <w:sz w:val="21"/>
                <w:szCs w:val="21"/>
                <w:highlight w:val="none"/>
              </w:rPr>
              <w:t xml:space="preserve"> </w:t>
            </w:r>
            <w:r>
              <w:rPr>
                <w:spacing w:val="-3"/>
                <w:sz w:val="21"/>
                <w:szCs w:val="21"/>
                <w:highlight w:val="none"/>
              </w:rPr>
              <w:t>个最</w:t>
            </w:r>
            <w:r>
              <w:rPr>
                <w:spacing w:val="-1"/>
                <w:sz w:val="21"/>
                <w:szCs w:val="21"/>
                <w:highlight w:val="none"/>
              </w:rPr>
              <w:t>高值和</w:t>
            </w:r>
            <w:r>
              <w:rPr>
                <w:spacing w:val="-43"/>
                <w:sz w:val="21"/>
                <w:szCs w:val="21"/>
                <w:highlight w:val="none"/>
              </w:rPr>
              <w:t xml:space="preserve"> </w:t>
            </w:r>
            <w:r>
              <w:rPr>
                <w:rFonts w:ascii="Times New Roman" w:hAnsi="Times New Roman" w:eastAsia="Times New Roman" w:cs="Times New Roman"/>
                <w:spacing w:val="-1"/>
                <w:sz w:val="21"/>
                <w:szCs w:val="21"/>
                <w:highlight w:val="none"/>
              </w:rPr>
              <w:t xml:space="preserve">P2 </w:t>
            </w:r>
            <w:r>
              <w:rPr>
                <w:spacing w:val="-1"/>
                <w:sz w:val="21"/>
                <w:szCs w:val="21"/>
                <w:highlight w:val="none"/>
              </w:rPr>
              <w:t>个最低值后的其余评标价的算术平均值为</w:t>
            </w:r>
            <w:r>
              <w:rPr>
                <w:spacing w:val="-3"/>
                <w:sz w:val="21"/>
                <w:szCs w:val="21"/>
                <w:highlight w:val="none"/>
              </w:rPr>
              <w:t>评标价平均值（</w:t>
            </w:r>
            <w:r>
              <w:rPr>
                <w:rFonts w:ascii="Times New Roman" w:hAnsi="Times New Roman" w:eastAsia="Times New Roman" w:cs="Times New Roman"/>
                <w:spacing w:val="-3"/>
                <w:sz w:val="21"/>
                <w:szCs w:val="21"/>
                <w:highlight w:val="none"/>
              </w:rPr>
              <w:t>B</w:t>
            </w:r>
            <w:r>
              <w:rPr>
                <w:spacing w:val="-3"/>
                <w:sz w:val="21"/>
                <w:szCs w:val="21"/>
                <w:highlight w:val="none"/>
              </w:rPr>
              <w:t>）。</w:t>
            </w:r>
          </w:p>
          <w:p w14:paraId="062F7779">
            <w:pPr>
              <w:pStyle w:val="92"/>
              <w:spacing w:before="269" w:line="312" w:lineRule="auto"/>
              <w:ind w:left="111" w:right="42" w:firstLine="415"/>
              <w:jc w:val="both"/>
              <w:rPr>
                <w:sz w:val="21"/>
                <w:szCs w:val="21"/>
                <w:highlight w:val="none"/>
              </w:rPr>
            </w:pPr>
            <w:r>
              <w:rPr>
                <w:rFonts w:ascii="Times New Roman" w:hAnsi="Times New Roman" w:eastAsia="Times New Roman" w:cs="Times New Roman"/>
                <w:spacing w:val="-3"/>
                <w:sz w:val="21"/>
                <w:szCs w:val="21"/>
                <w:highlight w:val="none"/>
              </w:rPr>
              <w:t>P1=Q1</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P2=Q2</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Q1</w:t>
            </w:r>
            <w:r>
              <w:rPr>
                <w:rFonts w:ascii="Times New Roman" w:hAnsi="Times New Roman" w:eastAsia="Times New Roman" w:cs="Times New Roman"/>
                <w:spacing w:val="-29"/>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 xml:space="preserve">Q2 </w:t>
            </w:r>
            <w:r>
              <w:rPr>
                <w:spacing w:val="-3"/>
                <w:sz w:val="21"/>
                <w:szCs w:val="21"/>
                <w:highlight w:val="none"/>
              </w:rPr>
              <w:t>是在取值区</w:t>
            </w:r>
            <w:r>
              <w:rPr>
                <w:spacing w:val="-4"/>
                <w:sz w:val="21"/>
                <w:szCs w:val="21"/>
                <w:highlight w:val="none"/>
              </w:rPr>
              <w:t>间（</w:t>
            </w:r>
            <w:r>
              <w:rPr>
                <w:rFonts w:ascii="Times New Roman" w:hAnsi="Times New Roman" w:eastAsia="Times New Roman" w:cs="Times New Roman"/>
                <w:spacing w:val="-4"/>
                <w:sz w:val="21"/>
                <w:szCs w:val="21"/>
                <w:highlight w:val="none"/>
              </w:rPr>
              <w:t>1</w:t>
            </w:r>
            <w:r>
              <w:rPr>
                <w:spacing w:val="-4"/>
                <w:sz w:val="21"/>
                <w:szCs w:val="21"/>
                <w:highlight w:val="none"/>
              </w:rPr>
              <w:t>～</w:t>
            </w:r>
            <w:r>
              <w:rPr>
                <w:rFonts w:ascii="Times New Roman" w:hAnsi="Times New Roman" w:eastAsia="Times New Roman" w:cs="Times New Roman"/>
                <w:spacing w:val="-4"/>
                <w:sz w:val="21"/>
                <w:szCs w:val="21"/>
                <w:highlight w:val="none"/>
              </w:rPr>
              <w:t>Q</w:t>
            </w:r>
            <w:r>
              <w:rPr>
                <w:spacing w:val="-4"/>
                <w:sz w:val="21"/>
                <w:szCs w:val="21"/>
                <w:highlight w:val="none"/>
              </w:rPr>
              <w:t>）</w:t>
            </w:r>
            <w:r>
              <w:rPr>
                <w:spacing w:val="-3"/>
                <w:sz w:val="21"/>
                <w:szCs w:val="21"/>
                <w:highlight w:val="none"/>
              </w:rPr>
              <w:t>中随机抽取的两个数值，较大的数值为</w:t>
            </w:r>
            <w:r>
              <w:rPr>
                <w:spacing w:val="-36"/>
                <w:sz w:val="21"/>
                <w:szCs w:val="21"/>
                <w:highlight w:val="none"/>
              </w:rPr>
              <w:t xml:space="preserve"> </w:t>
            </w:r>
            <w:r>
              <w:rPr>
                <w:rFonts w:ascii="Times New Roman" w:hAnsi="Times New Roman" w:eastAsia="Times New Roman" w:cs="Times New Roman"/>
                <w:spacing w:val="-3"/>
                <w:sz w:val="21"/>
                <w:szCs w:val="21"/>
                <w:highlight w:val="none"/>
              </w:rPr>
              <w:t>Q1</w:t>
            </w:r>
            <w:r>
              <w:rPr>
                <w:spacing w:val="-3"/>
                <w:sz w:val="21"/>
                <w:szCs w:val="21"/>
                <w:highlight w:val="none"/>
              </w:rPr>
              <w:t>，较小的数值为</w:t>
            </w:r>
            <w:r>
              <w:rPr>
                <w:spacing w:val="-45"/>
                <w:sz w:val="21"/>
                <w:szCs w:val="21"/>
                <w:highlight w:val="none"/>
              </w:rPr>
              <w:t xml:space="preserve"> </w:t>
            </w:r>
            <w:r>
              <w:rPr>
                <w:rFonts w:ascii="Times New Roman" w:hAnsi="Times New Roman" w:eastAsia="Times New Roman" w:cs="Times New Roman"/>
                <w:spacing w:val="-3"/>
                <w:sz w:val="21"/>
                <w:szCs w:val="21"/>
                <w:highlight w:val="none"/>
              </w:rPr>
              <w:t>Q2</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Q=INT</w:t>
            </w:r>
            <w:r>
              <w:rPr>
                <w:spacing w:val="-3"/>
                <w:sz w:val="21"/>
                <w:szCs w:val="21"/>
                <w:highlight w:val="none"/>
              </w:rPr>
              <w:t>（</w:t>
            </w:r>
            <w:r>
              <w:rPr>
                <w:rFonts w:ascii="Times New Roman" w:hAnsi="Times New Roman" w:eastAsia="Times New Roman" w:cs="Times New Roman"/>
                <w:spacing w:val="-3"/>
                <w:sz w:val="21"/>
                <w:szCs w:val="21"/>
                <w:highlight w:val="none"/>
              </w:rPr>
              <w:t>P/5</w:t>
            </w:r>
            <w:r>
              <w:rPr>
                <w:spacing w:val="-8"/>
                <w:sz w:val="21"/>
                <w:szCs w:val="21"/>
                <w:highlight w:val="none"/>
              </w:rPr>
              <w:t>），</w:t>
            </w:r>
            <w:r>
              <w:rPr>
                <w:spacing w:val="-3"/>
                <w:sz w:val="21"/>
                <w:szCs w:val="21"/>
                <w:highlight w:val="none"/>
              </w:rPr>
              <w:t>即</w:t>
            </w:r>
            <w:r>
              <w:rPr>
                <w:spacing w:val="-23"/>
                <w:sz w:val="21"/>
                <w:szCs w:val="21"/>
                <w:highlight w:val="none"/>
              </w:rPr>
              <w:t xml:space="preserve"> </w:t>
            </w:r>
            <w:r>
              <w:rPr>
                <w:rFonts w:ascii="Times New Roman" w:hAnsi="Times New Roman" w:eastAsia="Times New Roman" w:cs="Times New Roman"/>
                <w:spacing w:val="-3"/>
                <w:sz w:val="21"/>
                <w:szCs w:val="21"/>
                <w:highlight w:val="none"/>
              </w:rPr>
              <w:t xml:space="preserve">Q </w:t>
            </w:r>
            <w:r>
              <w:rPr>
                <w:spacing w:val="-3"/>
                <w:sz w:val="21"/>
                <w:szCs w:val="21"/>
                <w:highlight w:val="none"/>
              </w:rPr>
              <w:t>为（</w:t>
            </w:r>
            <w:r>
              <w:rPr>
                <w:rFonts w:ascii="Times New Roman" w:hAnsi="Times New Roman" w:eastAsia="Times New Roman" w:cs="Times New Roman"/>
                <w:spacing w:val="-3"/>
                <w:sz w:val="21"/>
                <w:szCs w:val="21"/>
                <w:highlight w:val="none"/>
              </w:rPr>
              <w:t>P/5</w:t>
            </w:r>
            <w:r>
              <w:rPr>
                <w:spacing w:val="-3"/>
                <w:sz w:val="21"/>
                <w:szCs w:val="21"/>
                <w:highlight w:val="none"/>
              </w:rPr>
              <w:t>）向下取整。</w:t>
            </w:r>
          </w:p>
          <w:p w14:paraId="50EF445F">
            <w:pPr>
              <w:pStyle w:val="92"/>
              <w:spacing w:before="176" w:line="219" w:lineRule="auto"/>
              <w:ind w:left="550"/>
              <w:rPr>
                <w:rFonts w:ascii="Times New Roman" w:hAnsi="Times New Roman" w:eastAsia="Times New Roman" w:cs="Times New Roman"/>
                <w:sz w:val="21"/>
                <w:szCs w:val="21"/>
                <w:highlight w:val="none"/>
              </w:rPr>
            </w:pPr>
            <w:r>
              <w:rPr>
                <w:b/>
                <w:bCs/>
                <w:spacing w:val="-3"/>
                <w:sz w:val="21"/>
                <w:szCs w:val="21"/>
                <w:highlight w:val="none"/>
              </w:rPr>
              <w:t>四、评标价平均值（</w:t>
            </w:r>
            <w:r>
              <w:rPr>
                <w:rFonts w:ascii="Times New Roman" w:hAnsi="Times New Roman" w:eastAsia="Times New Roman" w:cs="Times New Roman"/>
                <w:b/>
                <w:bCs/>
                <w:spacing w:val="-3"/>
                <w:sz w:val="21"/>
                <w:szCs w:val="21"/>
                <w:highlight w:val="none"/>
              </w:rPr>
              <w:t>B</w:t>
            </w:r>
            <w:r>
              <w:rPr>
                <w:b/>
                <w:bCs/>
                <w:spacing w:val="-3"/>
                <w:sz w:val="21"/>
                <w:szCs w:val="21"/>
                <w:highlight w:val="none"/>
              </w:rPr>
              <w:t>）计算方法</w:t>
            </w:r>
            <w:r>
              <w:rPr>
                <w:spacing w:val="-49"/>
                <w:sz w:val="21"/>
                <w:szCs w:val="21"/>
                <w:highlight w:val="none"/>
              </w:rPr>
              <w:t xml:space="preserve"> </w:t>
            </w:r>
            <w:r>
              <w:rPr>
                <w:rFonts w:ascii="Times New Roman" w:hAnsi="Times New Roman" w:eastAsia="Times New Roman" w:cs="Times New Roman"/>
                <w:b/>
                <w:bCs/>
                <w:spacing w:val="-3"/>
                <w:sz w:val="21"/>
                <w:szCs w:val="21"/>
                <w:highlight w:val="none"/>
              </w:rPr>
              <w:t>3</w:t>
            </w:r>
          </w:p>
          <w:p w14:paraId="65744E08">
            <w:pPr>
              <w:pStyle w:val="92"/>
              <w:spacing w:before="113" w:line="317" w:lineRule="auto"/>
              <w:ind w:left="112" w:right="102" w:firstLine="418"/>
              <w:jc w:val="both"/>
              <w:rPr>
                <w:sz w:val="21"/>
                <w:szCs w:val="21"/>
                <w:highlight w:val="none"/>
              </w:rPr>
            </w:pPr>
            <w:r>
              <w:rPr>
                <w:spacing w:val="-1"/>
                <w:sz w:val="21"/>
                <w:szCs w:val="21"/>
                <w:highlight w:val="none"/>
              </w:rPr>
              <w:t>根据所有参加评标价平均值计算的评标价（个数</w:t>
            </w:r>
            <w:r>
              <w:rPr>
                <w:spacing w:val="-4"/>
                <w:sz w:val="21"/>
                <w:szCs w:val="21"/>
                <w:highlight w:val="none"/>
              </w:rPr>
              <w:t>用</w:t>
            </w:r>
            <w:r>
              <w:rPr>
                <w:spacing w:val="-41"/>
                <w:sz w:val="21"/>
                <w:szCs w:val="21"/>
                <w:highlight w:val="none"/>
              </w:rPr>
              <w:t xml:space="preserve"> </w:t>
            </w:r>
            <w:r>
              <w:rPr>
                <w:rFonts w:ascii="Times New Roman" w:hAnsi="Times New Roman" w:eastAsia="Times New Roman" w:cs="Times New Roman"/>
                <w:spacing w:val="-4"/>
                <w:sz w:val="21"/>
                <w:szCs w:val="21"/>
                <w:highlight w:val="none"/>
              </w:rPr>
              <w:t xml:space="preserve">P </w:t>
            </w:r>
            <w:r>
              <w:rPr>
                <w:spacing w:val="-4"/>
                <w:sz w:val="21"/>
                <w:szCs w:val="21"/>
                <w:highlight w:val="none"/>
              </w:rPr>
              <w:t>表示）计算评标价平均值（</w:t>
            </w:r>
            <w:r>
              <w:rPr>
                <w:rFonts w:ascii="Times New Roman" w:hAnsi="Times New Roman" w:eastAsia="Times New Roman" w:cs="Times New Roman"/>
                <w:spacing w:val="-4"/>
                <w:sz w:val="21"/>
                <w:szCs w:val="21"/>
                <w:highlight w:val="none"/>
              </w:rPr>
              <w:t>B</w:t>
            </w:r>
            <w:r>
              <w:rPr>
                <w:spacing w:val="-4"/>
                <w:sz w:val="21"/>
                <w:szCs w:val="21"/>
                <w:highlight w:val="none"/>
              </w:rPr>
              <w:t>）。</w:t>
            </w:r>
            <w:r>
              <w:rPr>
                <w:rFonts w:ascii="Times New Roman" w:hAnsi="Times New Roman" w:eastAsia="Times New Roman" w:cs="Times New Roman"/>
                <w:spacing w:val="-4"/>
                <w:sz w:val="21"/>
                <w:szCs w:val="21"/>
                <w:highlight w:val="none"/>
              </w:rPr>
              <w:t xml:space="preserve">C </w:t>
            </w:r>
            <w:r>
              <w:rPr>
                <w:spacing w:val="-4"/>
                <w:sz w:val="21"/>
                <w:szCs w:val="21"/>
                <w:highlight w:val="none"/>
              </w:rPr>
              <w:t>为招标人设定</w:t>
            </w:r>
            <w:r>
              <w:rPr>
                <w:spacing w:val="-1"/>
                <w:sz w:val="21"/>
                <w:szCs w:val="21"/>
                <w:highlight w:val="none"/>
              </w:rPr>
              <w:t>的最高投标限价。评标价平均值保留七位小数，小数</w:t>
            </w:r>
            <w:r>
              <w:rPr>
                <w:spacing w:val="-4"/>
                <w:sz w:val="21"/>
                <w:szCs w:val="21"/>
                <w:highlight w:val="none"/>
              </w:rPr>
              <w:t>点后第八位“四舍五入”。</w:t>
            </w:r>
          </w:p>
          <w:p w14:paraId="072D84FA">
            <w:pPr>
              <w:pStyle w:val="92"/>
              <w:spacing w:before="155" w:line="284" w:lineRule="auto"/>
              <w:ind w:left="112" w:right="102" w:firstLine="434"/>
              <w:rPr>
                <w:sz w:val="21"/>
                <w:szCs w:val="21"/>
                <w:highlight w:val="none"/>
              </w:rPr>
            </w:pPr>
            <w:r>
              <w:rPr>
                <w:rFonts w:ascii="Times New Roman" w:hAnsi="Times New Roman" w:eastAsia="Times New Roman" w:cs="Times New Roman"/>
                <w:spacing w:val="-4"/>
                <w:sz w:val="21"/>
                <w:szCs w:val="21"/>
                <w:highlight w:val="none"/>
              </w:rPr>
              <w:t>1</w:t>
            </w:r>
            <w:r>
              <w:rPr>
                <w:spacing w:val="-4"/>
                <w:sz w:val="21"/>
                <w:szCs w:val="21"/>
                <w:highlight w:val="none"/>
              </w:rPr>
              <w:t>、当</w:t>
            </w:r>
            <w:r>
              <w:rPr>
                <w:spacing w:val="-49"/>
                <w:sz w:val="21"/>
                <w:szCs w:val="21"/>
                <w:highlight w:val="none"/>
              </w:rPr>
              <w:t xml:space="preserve"> </w:t>
            </w:r>
            <w:r>
              <w:rPr>
                <w:rFonts w:ascii="Times New Roman" w:hAnsi="Times New Roman" w:eastAsia="Times New Roman" w:cs="Times New Roman"/>
                <w:spacing w:val="-4"/>
                <w:sz w:val="21"/>
                <w:szCs w:val="21"/>
                <w:highlight w:val="none"/>
              </w:rPr>
              <w:t>P=0</w:t>
            </w:r>
            <w:r>
              <w:rPr>
                <w:rFonts w:ascii="Times New Roman" w:hAnsi="Times New Roman" w:eastAsia="Times New Roman" w:cs="Times New Roman"/>
                <w:spacing w:val="18"/>
                <w:sz w:val="21"/>
                <w:szCs w:val="21"/>
                <w:highlight w:val="none"/>
              </w:rPr>
              <w:t xml:space="preserve"> </w:t>
            </w:r>
            <w:r>
              <w:rPr>
                <w:spacing w:val="-4"/>
                <w:sz w:val="21"/>
                <w:szCs w:val="21"/>
                <w:highlight w:val="none"/>
              </w:rPr>
              <w:t>时，即所有评标价均低于</w:t>
            </w:r>
            <w:r>
              <w:rPr>
                <w:rFonts w:ascii="Times New Roman" w:hAnsi="Times New Roman" w:eastAsia="Times New Roman" w:cs="Times New Roman"/>
                <w:spacing w:val="-4"/>
                <w:sz w:val="21"/>
                <w:szCs w:val="21"/>
                <w:highlight w:val="none"/>
                <w:u w:val="single" w:color="auto"/>
              </w:rPr>
              <w:t xml:space="preserve">    G    </w:t>
            </w:r>
            <w:r>
              <w:rPr>
                <w:rFonts w:ascii="Times New Roman" w:hAnsi="Times New Roman" w:eastAsia="Times New Roman" w:cs="Times New Roman"/>
                <w:spacing w:val="-46"/>
                <w:sz w:val="21"/>
                <w:szCs w:val="21"/>
                <w:highlight w:val="none"/>
              </w:rPr>
              <w:t xml:space="preserve"> </w:t>
            </w:r>
            <w:r>
              <w:rPr>
                <w:rFonts w:ascii="Times New Roman" w:hAnsi="Times New Roman" w:eastAsia="Times New Roman" w:cs="Times New Roman"/>
                <w:spacing w:val="-4"/>
                <w:sz w:val="21"/>
                <w:szCs w:val="21"/>
                <w:highlight w:val="none"/>
              </w:rPr>
              <w:t>%*C</w:t>
            </w:r>
            <w:r>
              <w:rPr>
                <w:rFonts w:ascii="Times New Roman" w:hAnsi="Times New Roman" w:eastAsia="Times New Roman" w:cs="Times New Roman"/>
                <w:spacing w:val="-5"/>
                <w:sz w:val="21"/>
                <w:szCs w:val="21"/>
                <w:highlight w:val="none"/>
              </w:rPr>
              <w:t xml:space="preserve"> </w:t>
            </w:r>
            <w:r>
              <w:rPr>
                <w:spacing w:val="-5"/>
                <w:sz w:val="21"/>
                <w:szCs w:val="21"/>
                <w:highlight w:val="none"/>
              </w:rPr>
              <w:t>值</w:t>
            </w:r>
            <w:r>
              <w:rPr>
                <w:spacing w:val="-1"/>
                <w:sz w:val="21"/>
                <w:szCs w:val="21"/>
                <w:highlight w:val="none"/>
              </w:rPr>
              <w:t>（最高投标限价的</w:t>
            </w:r>
            <w:r>
              <w:rPr>
                <w:spacing w:val="-88"/>
                <w:sz w:val="21"/>
                <w:szCs w:val="21"/>
                <w:highlight w:val="none"/>
              </w:rPr>
              <w:t xml:space="preserve"> </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w:t>
            </w:r>
            <w:r>
              <w:rPr>
                <w:spacing w:val="-4"/>
                <w:sz w:val="21"/>
                <w:szCs w:val="21"/>
                <w:highlight w:val="none"/>
              </w:rPr>
              <w:t>），</w:t>
            </w:r>
            <w:r>
              <w:rPr>
                <w:spacing w:val="-1"/>
                <w:sz w:val="21"/>
                <w:szCs w:val="21"/>
                <w:highlight w:val="none"/>
              </w:rPr>
              <w:t>则评标价平均值（</w:t>
            </w:r>
            <w:r>
              <w:rPr>
                <w:rFonts w:ascii="Times New Roman" w:hAnsi="Times New Roman" w:eastAsia="Times New Roman" w:cs="Times New Roman"/>
                <w:spacing w:val="-1"/>
                <w:sz w:val="21"/>
                <w:szCs w:val="21"/>
                <w:highlight w:val="none"/>
              </w:rPr>
              <w:t>B</w:t>
            </w:r>
            <w:r>
              <w:rPr>
                <w:spacing w:val="-1"/>
                <w:sz w:val="21"/>
                <w:szCs w:val="21"/>
                <w:highlight w:val="none"/>
              </w:rPr>
              <w:t>）直接为</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38"/>
                <w:sz w:val="21"/>
                <w:szCs w:val="21"/>
                <w:highlight w:val="none"/>
              </w:rPr>
              <w:t xml:space="preserve"> </w:t>
            </w:r>
            <w:r>
              <w:rPr>
                <w:rFonts w:ascii="Times New Roman" w:hAnsi="Times New Roman" w:eastAsia="Times New Roman" w:cs="Times New Roman"/>
                <w:spacing w:val="-1"/>
                <w:sz w:val="21"/>
                <w:szCs w:val="21"/>
                <w:highlight w:val="none"/>
              </w:rPr>
              <w:t xml:space="preserve">*C </w:t>
            </w:r>
            <w:r>
              <w:rPr>
                <w:spacing w:val="-1"/>
                <w:sz w:val="21"/>
                <w:szCs w:val="21"/>
                <w:highlight w:val="none"/>
              </w:rPr>
              <w:t>值（最高投标限价的</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2"/>
                <w:sz w:val="21"/>
                <w:szCs w:val="21"/>
                <w:highlight w:val="none"/>
                <w:u w:val="single" w:color="auto"/>
              </w:rPr>
              <w:t xml:space="preserve">  </w:t>
            </w:r>
            <w:r>
              <w:rPr>
                <w:spacing w:val="-2"/>
                <w:sz w:val="21"/>
                <w:szCs w:val="21"/>
                <w:highlight w:val="none"/>
              </w:rPr>
              <w:t>）。</w:t>
            </w:r>
          </w:p>
          <w:p w14:paraId="6E2DF2CC">
            <w:pPr>
              <w:pStyle w:val="92"/>
              <w:spacing w:before="270" w:line="268" w:lineRule="auto"/>
              <w:ind w:left="112" w:right="101" w:firstLine="415"/>
              <w:rPr>
                <w:sz w:val="21"/>
                <w:szCs w:val="21"/>
                <w:highlight w:val="none"/>
              </w:rPr>
            </w:pPr>
            <w:r>
              <w:rPr>
                <w:rFonts w:ascii="Times New Roman" w:hAnsi="Times New Roman" w:eastAsia="Times New Roman" w:cs="Times New Roman"/>
                <w:spacing w:val="-2"/>
                <w:sz w:val="21"/>
                <w:szCs w:val="21"/>
                <w:highlight w:val="none"/>
              </w:rPr>
              <w:t>2</w:t>
            </w:r>
            <w:r>
              <w:rPr>
                <w:spacing w:val="-2"/>
                <w:sz w:val="21"/>
                <w:szCs w:val="21"/>
                <w:highlight w:val="none"/>
              </w:rPr>
              <w:t>、当</w:t>
            </w:r>
            <w:r>
              <w:rPr>
                <w:spacing w:val="-38"/>
                <w:sz w:val="21"/>
                <w:szCs w:val="21"/>
                <w:highlight w:val="none"/>
              </w:rPr>
              <w:t xml:space="preserve"> </w:t>
            </w:r>
            <w:r>
              <w:rPr>
                <w:rFonts w:ascii="Times New Roman" w:hAnsi="Times New Roman" w:eastAsia="Times New Roman" w:cs="Times New Roman"/>
                <w:spacing w:val="-2"/>
                <w:sz w:val="21"/>
                <w:szCs w:val="21"/>
                <w:highlight w:val="none"/>
              </w:rPr>
              <w:t>0</w:t>
            </w:r>
            <w:r>
              <w:rPr>
                <w:spacing w:val="-2"/>
                <w:sz w:val="21"/>
                <w:szCs w:val="21"/>
                <w:highlight w:val="none"/>
              </w:rPr>
              <w:t>＜</w:t>
            </w:r>
            <w:r>
              <w:rPr>
                <w:rFonts w:ascii="Times New Roman" w:hAnsi="Times New Roman" w:eastAsia="Times New Roman" w:cs="Times New Roman"/>
                <w:spacing w:val="-2"/>
                <w:sz w:val="21"/>
                <w:szCs w:val="21"/>
                <w:highlight w:val="none"/>
              </w:rPr>
              <w:t>P</w:t>
            </w:r>
            <w:r>
              <w:rPr>
                <w:spacing w:val="-2"/>
                <w:sz w:val="21"/>
                <w:szCs w:val="21"/>
                <w:highlight w:val="none"/>
              </w:rPr>
              <w:t>≤</w:t>
            </w:r>
            <w:r>
              <w:rPr>
                <w:rFonts w:ascii="Times New Roman" w:hAnsi="Times New Roman" w:eastAsia="Times New Roman" w:cs="Times New Roman"/>
                <w:spacing w:val="-2"/>
                <w:sz w:val="21"/>
                <w:szCs w:val="21"/>
                <w:highlight w:val="none"/>
              </w:rPr>
              <w:t>5</w:t>
            </w:r>
            <w:r>
              <w:rPr>
                <w:rFonts w:ascii="Times New Roman" w:hAnsi="Times New Roman" w:eastAsia="Times New Roman" w:cs="Times New Roman"/>
                <w:spacing w:val="18"/>
                <w:w w:val="101"/>
                <w:sz w:val="21"/>
                <w:szCs w:val="21"/>
                <w:highlight w:val="none"/>
              </w:rPr>
              <w:t xml:space="preserve"> </w:t>
            </w:r>
            <w:r>
              <w:rPr>
                <w:spacing w:val="-2"/>
                <w:sz w:val="21"/>
                <w:szCs w:val="21"/>
                <w:highlight w:val="none"/>
              </w:rPr>
              <w:t>时，评标价平均值（</w:t>
            </w:r>
            <w:r>
              <w:rPr>
                <w:rFonts w:ascii="Times New Roman" w:hAnsi="Times New Roman" w:eastAsia="Times New Roman" w:cs="Times New Roman"/>
                <w:spacing w:val="-2"/>
                <w:sz w:val="21"/>
                <w:szCs w:val="21"/>
                <w:highlight w:val="none"/>
              </w:rPr>
              <w:t>B</w:t>
            </w:r>
            <w:r>
              <w:rPr>
                <w:spacing w:val="-2"/>
                <w:sz w:val="21"/>
                <w:szCs w:val="21"/>
                <w:highlight w:val="none"/>
              </w:rPr>
              <w:t>）为</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w:t>
            </w:r>
            <w:r>
              <w:rPr>
                <w:spacing w:val="-4"/>
                <w:sz w:val="21"/>
                <w:szCs w:val="21"/>
                <w:highlight w:val="none"/>
              </w:rPr>
              <w:t>标价的算术平均值。</w:t>
            </w:r>
          </w:p>
          <w:p w14:paraId="5E05E4FE">
            <w:pPr>
              <w:pStyle w:val="92"/>
              <w:spacing w:before="271" w:line="284" w:lineRule="auto"/>
              <w:ind w:left="112" w:right="101" w:firstLine="419"/>
              <w:rPr>
                <w:sz w:val="21"/>
                <w:szCs w:val="21"/>
                <w:highlight w:val="none"/>
              </w:rPr>
            </w:pPr>
            <w:r>
              <w:rPr>
                <w:rFonts w:ascii="Times New Roman" w:hAnsi="Times New Roman" w:eastAsia="Times New Roman" w:cs="Times New Roman"/>
                <w:spacing w:val="-7"/>
                <w:sz w:val="21"/>
                <w:szCs w:val="21"/>
                <w:highlight w:val="none"/>
              </w:rPr>
              <w:t>3</w:t>
            </w:r>
            <w:r>
              <w:rPr>
                <w:spacing w:val="-7"/>
                <w:sz w:val="21"/>
                <w:szCs w:val="21"/>
                <w:highlight w:val="none"/>
              </w:rPr>
              <w:t>、当</w:t>
            </w:r>
            <w:r>
              <w:rPr>
                <w:spacing w:val="-41"/>
                <w:sz w:val="21"/>
                <w:szCs w:val="21"/>
                <w:highlight w:val="none"/>
              </w:rPr>
              <w:t xml:space="preserve"> </w:t>
            </w:r>
            <w:r>
              <w:rPr>
                <w:rFonts w:ascii="Times New Roman" w:hAnsi="Times New Roman" w:eastAsia="Times New Roman" w:cs="Times New Roman"/>
                <w:spacing w:val="-7"/>
                <w:sz w:val="21"/>
                <w:szCs w:val="21"/>
                <w:highlight w:val="none"/>
              </w:rPr>
              <w:t>P=6</w:t>
            </w:r>
            <w:r>
              <w:rPr>
                <w:rFonts w:ascii="Times New Roman" w:hAnsi="Times New Roman" w:eastAsia="Times New Roman" w:cs="Times New Roman"/>
                <w:spacing w:val="11"/>
                <w:sz w:val="21"/>
                <w:szCs w:val="21"/>
                <w:highlight w:val="none"/>
              </w:rPr>
              <w:t xml:space="preserve"> </w:t>
            </w:r>
            <w:r>
              <w:rPr>
                <w:spacing w:val="-7"/>
                <w:sz w:val="21"/>
                <w:szCs w:val="21"/>
                <w:highlight w:val="none"/>
              </w:rPr>
              <w:t>或</w:t>
            </w:r>
            <w:r>
              <w:rPr>
                <w:spacing w:val="-45"/>
                <w:sz w:val="21"/>
                <w:szCs w:val="21"/>
                <w:highlight w:val="none"/>
              </w:rPr>
              <w:t xml:space="preserve"> </w:t>
            </w:r>
            <w:r>
              <w:rPr>
                <w:rFonts w:ascii="Times New Roman" w:hAnsi="Times New Roman" w:eastAsia="Times New Roman" w:cs="Times New Roman"/>
                <w:spacing w:val="-7"/>
                <w:sz w:val="21"/>
                <w:szCs w:val="21"/>
                <w:highlight w:val="none"/>
              </w:rPr>
              <w:t>7</w:t>
            </w:r>
            <w:r>
              <w:rPr>
                <w:rFonts w:ascii="Times New Roman" w:hAnsi="Times New Roman" w:eastAsia="Times New Roman" w:cs="Times New Roman"/>
                <w:spacing w:val="18"/>
                <w:sz w:val="21"/>
                <w:szCs w:val="21"/>
                <w:highlight w:val="none"/>
              </w:rPr>
              <w:t xml:space="preserve"> </w:t>
            </w:r>
            <w:r>
              <w:rPr>
                <w:spacing w:val="-7"/>
                <w:sz w:val="21"/>
                <w:szCs w:val="21"/>
                <w:highlight w:val="none"/>
              </w:rPr>
              <w:t>时，在</w:t>
            </w:r>
            <w:r>
              <w:rPr>
                <w:spacing w:val="-49"/>
                <w:sz w:val="21"/>
                <w:szCs w:val="21"/>
                <w:highlight w:val="none"/>
              </w:rPr>
              <w:t xml:space="preserve"> </w:t>
            </w:r>
            <w:r>
              <w:rPr>
                <w:rFonts w:ascii="Times New Roman" w:hAnsi="Times New Roman" w:eastAsia="Times New Roman" w:cs="Times New Roman"/>
                <w:spacing w:val="-7"/>
                <w:sz w:val="21"/>
                <w:szCs w:val="21"/>
                <w:highlight w:val="none"/>
              </w:rPr>
              <w:t xml:space="preserve">P </w:t>
            </w:r>
            <w:r>
              <w:rPr>
                <w:spacing w:val="-7"/>
                <w:sz w:val="21"/>
                <w:szCs w:val="21"/>
                <w:highlight w:val="none"/>
              </w:rPr>
              <w:t>个评标价中，去掉</w:t>
            </w:r>
            <w:r>
              <w:rPr>
                <w:spacing w:val="-28"/>
                <w:sz w:val="21"/>
                <w:szCs w:val="21"/>
                <w:highlight w:val="none"/>
              </w:rPr>
              <w:t xml:space="preserve"> </w:t>
            </w:r>
            <w:r>
              <w:rPr>
                <w:rFonts w:ascii="Times New Roman" w:hAnsi="Times New Roman" w:eastAsia="Times New Roman" w:cs="Times New Roman"/>
                <w:spacing w:val="-7"/>
                <w:sz w:val="21"/>
                <w:szCs w:val="21"/>
                <w:highlight w:val="none"/>
              </w:rPr>
              <w:t xml:space="preserve">1 </w:t>
            </w:r>
            <w:r>
              <w:rPr>
                <w:spacing w:val="-7"/>
                <w:sz w:val="21"/>
                <w:szCs w:val="21"/>
                <w:highlight w:val="none"/>
              </w:rPr>
              <w:t>个最</w:t>
            </w:r>
            <w:r>
              <w:rPr>
                <w:spacing w:val="-2"/>
                <w:sz w:val="21"/>
                <w:szCs w:val="21"/>
                <w:highlight w:val="none"/>
              </w:rPr>
              <w:t>高值和</w:t>
            </w:r>
            <w:r>
              <w:rPr>
                <w:spacing w:val="-15"/>
                <w:sz w:val="21"/>
                <w:szCs w:val="21"/>
                <w:highlight w:val="none"/>
              </w:rPr>
              <w:t xml:space="preserve"> </w:t>
            </w:r>
            <w:r>
              <w:rPr>
                <w:rFonts w:ascii="Times New Roman" w:hAnsi="Times New Roman" w:eastAsia="Times New Roman" w:cs="Times New Roman"/>
                <w:spacing w:val="-2"/>
                <w:sz w:val="21"/>
                <w:szCs w:val="21"/>
                <w:highlight w:val="none"/>
              </w:rPr>
              <w:t xml:space="preserve">1 </w:t>
            </w:r>
            <w:r>
              <w:rPr>
                <w:spacing w:val="-2"/>
                <w:sz w:val="21"/>
                <w:szCs w:val="21"/>
                <w:highlight w:val="none"/>
              </w:rPr>
              <w:t>个最低值后的其余评标价的算术平均值为评</w:t>
            </w:r>
            <w:r>
              <w:rPr>
                <w:spacing w:val="-3"/>
                <w:sz w:val="21"/>
                <w:szCs w:val="21"/>
                <w:highlight w:val="none"/>
              </w:rPr>
              <w:t>标价平均值（</w:t>
            </w:r>
            <w:r>
              <w:rPr>
                <w:rFonts w:ascii="Times New Roman" w:hAnsi="Times New Roman" w:eastAsia="Times New Roman" w:cs="Times New Roman"/>
                <w:spacing w:val="-3"/>
                <w:sz w:val="21"/>
                <w:szCs w:val="21"/>
                <w:highlight w:val="none"/>
              </w:rPr>
              <w:t>B</w:t>
            </w:r>
            <w:r>
              <w:rPr>
                <w:spacing w:val="-3"/>
                <w:sz w:val="21"/>
                <w:szCs w:val="21"/>
                <w:highlight w:val="none"/>
              </w:rPr>
              <w:t>）。</w:t>
            </w:r>
          </w:p>
          <w:p w14:paraId="505769BC">
            <w:pPr>
              <w:pStyle w:val="92"/>
              <w:spacing w:before="271" w:line="222" w:lineRule="auto"/>
              <w:ind w:left="526"/>
              <w:rPr>
                <w:sz w:val="21"/>
                <w:szCs w:val="21"/>
                <w:highlight w:val="none"/>
              </w:rPr>
            </w:pPr>
            <w:r>
              <w:rPr>
                <w:rFonts w:ascii="Times New Roman" w:hAnsi="Times New Roman" w:eastAsia="Times New Roman" w:cs="Times New Roman"/>
                <w:spacing w:val="-4"/>
                <w:sz w:val="21"/>
                <w:szCs w:val="21"/>
                <w:highlight w:val="none"/>
              </w:rPr>
              <w:t>4</w:t>
            </w:r>
            <w:r>
              <w:rPr>
                <w:spacing w:val="-4"/>
                <w:sz w:val="21"/>
                <w:szCs w:val="21"/>
                <w:highlight w:val="none"/>
              </w:rPr>
              <w:t>、当</w:t>
            </w:r>
            <w:r>
              <w:rPr>
                <w:spacing w:val="-29"/>
                <w:sz w:val="21"/>
                <w:szCs w:val="21"/>
                <w:highlight w:val="none"/>
              </w:rPr>
              <w:t xml:space="preserve"> </w:t>
            </w:r>
            <w:r>
              <w:rPr>
                <w:rFonts w:ascii="Times New Roman" w:hAnsi="Times New Roman" w:eastAsia="Times New Roman" w:cs="Times New Roman"/>
                <w:spacing w:val="-4"/>
                <w:sz w:val="21"/>
                <w:szCs w:val="21"/>
                <w:highlight w:val="none"/>
              </w:rPr>
              <w:t>P</w:t>
            </w:r>
            <w:r>
              <w:rPr>
                <w:spacing w:val="-4"/>
                <w:sz w:val="21"/>
                <w:szCs w:val="21"/>
                <w:highlight w:val="none"/>
              </w:rPr>
              <w:t>≥</w:t>
            </w:r>
            <w:r>
              <w:rPr>
                <w:rFonts w:ascii="Times New Roman" w:hAnsi="Times New Roman" w:eastAsia="Times New Roman" w:cs="Times New Roman"/>
                <w:spacing w:val="-4"/>
                <w:sz w:val="21"/>
                <w:szCs w:val="21"/>
                <w:highlight w:val="none"/>
              </w:rPr>
              <w:t>8</w:t>
            </w:r>
            <w:r>
              <w:rPr>
                <w:rFonts w:ascii="Times New Roman" w:hAnsi="Times New Roman" w:eastAsia="Times New Roman" w:cs="Times New Roman"/>
                <w:spacing w:val="18"/>
                <w:sz w:val="21"/>
                <w:szCs w:val="21"/>
                <w:highlight w:val="none"/>
              </w:rPr>
              <w:t xml:space="preserve"> </w:t>
            </w:r>
            <w:r>
              <w:rPr>
                <w:spacing w:val="-4"/>
                <w:sz w:val="21"/>
                <w:szCs w:val="21"/>
                <w:highlight w:val="none"/>
              </w:rPr>
              <w:t>时</w:t>
            </w:r>
          </w:p>
          <w:p w14:paraId="370F1A94">
            <w:pPr>
              <w:pStyle w:val="92"/>
              <w:spacing w:before="268" w:line="268" w:lineRule="auto"/>
              <w:ind w:left="112" w:right="131" w:firstLine="424"/>
              <w:rPr>
                <w:sz w:val="21"/>
                <w:szCs w:val="21"/>
                <w:highlight w:val="none"/>
              </w:rPr>
            </w:pPr>
            <w:r>
              <w:rPr>
                <w:spacing w:val="-2"/>
                <w:sz w:val="21"/>
                <w:szCs w:val="21"/>
                <w:highlight w:val="none"/>
              </w:rPr>
              <w:t>（</w:t>
            </w:r>
            <w:r>
              <w:rPr>
                <w:rFonts w:ascii="Times New Roman" w:hAnsi="Times New Roman" w:eastAsia="Times New Roman" w:cs="Times New Roman"/>
                <w:spacing w:val="-2"/>
                <w:sz w:val="21"/>
                <w:szCs w:val="21"/>
                <w:highlight w:val="none"/>
              </w:rPr>
              <w:t>1</w:t>
            </w:r>
            <w:r>
              <w:rPr>
                <w:spacing w:val="-2"/>
                <w:sz w:val="21"/>
                <w:szCs w:val="21"/>
                <w:highlight w:val="none"/>
              </w:rPr>
              <w:t>）首先，在</w:t>
            </w:r>
            <w:r>
              <w:rPr>
                <w:spacing w:val="-23"/>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个评标价中，去掉</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P1 </w:t>
            </w:r>
            <w:r>
              <w:rPr>
                <w:spacing w:val="-2"/>
                <w:sz w:val="21"/>
                <w:szCs w:val="21"/>
                <w:highlight w:val="none"/>
              </w:rPr>
              <w:t>个最高值</w:t>
            </w:r>
            <w:r>
              <w:rPr>
                <w:spacing w:val="-4"/>
                <w:sz w:val="21"/>
                <w:szCs w:val="21"/>
                <w:highlight w:val="none"/>
              </w:rPr>
              <w:t>和</w:t>
            </w:r>
            <w:r>
              <w:rPr>
                <w:spacing w:val="-49"/>
                <w:sz w:val="21"/>
                <w:szCs w:val="21"/>
                <w:highlight w:val="none"/>
              </w:rPr>
              <w:t xml:space="preserve"> </w:t>
            </w:r>
            <w:r>
              <w:rPr>
                <w:rFonts w:ascii="Times New Roman" w:hAnsi="Times New Roman" w:eastAsia="Times New Roman" w:cs="Times New Roman"/>
                <w:spacing w:val="-4"/>
                <w:sz w:val="21"/>
                <w:szCs w:val="21"/>
                <w:highlight w:val="none"/>
              </w:rPr>
              <w:t xml:space="preserve">P2 </w:t>
            </w:r>
            <w:r>
              <w:rPr>
                <w:spacing w:val="-4"/>
                <w:sz w:val="21"/>
                <w:szCs w:val="21"/>
                <w:highlight w:val="none"/>
              </w:rPr>
              <w:t>个最低值。</w:t>
            </w:r>
          </w:p>
          <w:p w14:paraId="3397E8AC">
            <w:pPr>
              <w:pStyle w:val="92"/>
              <w:spacing w:before="270" w:line="218" w:lineRule="auto"/>
              <w:ind w:left="530"/>
              <w:rPr>
                <w:sz w:val="21"/>
                <w:szCs w:val="21"/>
                <w:highlight w:val="none"/>
              </w:rPr>
            </w:pPr>
            <w:r>
              <w:rPr>
                <w:spacing w:val="-3"/>
                <w:sz w:val="21"/>
                <w:szCs w:val="21"/>
                <w:highlight w:val="none"/>
              </w:rPr>
              <w:t>①当</w:t>
            </w:r>
            <w:r>
              <w:rPr>
                <w:spacing w:val="-34"/>
                <w:sz w:val="21"/>
                <w:szCs w:val="21"/>
                <w:highlight w:val="none"/>
              </w:rPr>
              <w:t xml:space="preserve"> </w:t>
            </w:r>
            <w:r>
              <w:rPr>
                <w:rFonts w:ascii="Times New Roman" w:hAnsi="Times New Roman" w:eastAsia="Times New Roman" w:cs="Times New Roman"/>
                <w:spacing w:val="-3"/>
                <w:sz w:val="21"/>
                <w:szCs w:val="21"/>
                <w:highlight w:val="none"/>
              </w:rPr>
              <w:t xml:space="preserve">P=8 </w:t>
            </w:r>
            <w:r>
              <w:rPr>
                <w:spacing w:val="-3"/>
                <w:sz w:val="21"/>
                <w:szCs w:val="21"/>
                <w:highlight w:val="none"/>
              </w:rPr>
              <w:t>或</w:t>
            </w:r>
            <w:r>
              <w:rPr>
                <w:spacing w:val="-44"/>
                <w:sz w:val="21"/>
                <w:szCs w:val="21"/>
                <w:highlight w:val="none"/>
              </w:rPr>
              <w:t xml:space="preserve"> </w:t>
            </w:r>
            <w:r>
              <w:rPr>
                <w:rFonts w:ascii="Times New Roman" w:hAnsi="Times New Roman" w:eastAsia="Times New Roman" w:cs="Times New Roman"/>
                <w:spacing w:val="-3"/>
                <w:sz w:val="21"/>
                <w:szCs w:val="21"/>
                <w:highlight w:val="none"/>
              </w:rPr>
              <w:t>9</w:t>
            </w:r>
            <w:r>
              <w:rPr>
                <w:rFonts w:ascii="Times New Roman" w:hAnsi="Times New Roman" w:eastAsia="Times New Roman" w:cs="Times New Roman"/>
                <w:spacing w:val="18"/>
                <w:w w:val="101"/>
                <w:sz w:val="21"/>
                <w:szCs w:val="21"/>
                <w:highlight w:val="none"/>
              </w:rPr>
              <w:t xml:space="preserve"> </w:t>
            </w:r>
            <w:r>
              <w:rPr>
                <w:spacing w:val="-3"/>
                <w:sz w:val="21"/>
                <w:szCs w:val="21"/>
                <w:highlight w:val="none"/>
              </w:rPr>
              <w:t>时，</w:t>
            </w:r>
            <w:r>
              <w:rPr>
                <w:rFonts w:ascii="Times New Roman" w:hAnsi="Times New Roman" w:eastAsia="Times New Roman" w:cs="Times New Roman"/>
                <w:spacing w:val="-3"/>
                <w:sz w:val="21"/>
                <w:szCs w:val="21"/>
                <w:highlight w:val="none"/>
              </w:rPr>
              <w:t>P1=P2=1</w:t>
            </w:r>
            <w:r>
              <w:rPr>
                <w:spacing w:val="-3"/>
                <w:sz w:val="21"/>
                <w:szCs w:val="21"/>
                <w:highlight w:val="none"/>
              </w:rPr>
              <w:t>；</w:t>
            </w:r>
          </w:p>
          <w:p w14:paraId="5065FF94">
            <w:pPr>
              <w:pStyle w:val="92"/>
              <w:spacing w:before="273" w:line="269" w:lineRule="auto"/>
              <w:ind w:left="106" w:right="464" w:firstLine="422"/>
              <w:rPr>
                <w:sz w:val="21"/>
                <w:szCs w:val="21"/>
                <w:highlight w:val="none"/>
              </w:rPr>
            </w:pPr>
            <w:r>
              <w:rPr>
                <w:spacing w:val="-9"/>
                <w:sz w:val="21"/>
                <w:szCs w:val="21"/>
                <w:highlight w:val="none"/>
              </w:rPr>
              <w:t>②当</w:t>
            </w:r>
            <w:r>
              <w:rPr>
                <w:spacing w:val="-40"/>
                <w:sz w:val="21"/>
                <w:szCs w:val="21"/>
                <w:highlight w:val="none"/>
              </w:rPr>
              <w:t xml:space="preserve"> </w:t>
            </w:r>
            <w:r>
              <w:rPr>
                <w:rFonts w:ascii="Times New Roman" w:hAnsi="Times New Roman" w:eastAsia="Times New Roman" w:cs="Times New Roman"/>
                <w:spacing w:val="-9"/>
                <w:sz w:val="21"/>
                <w:szCs w:val="21"/>
                <w:highlight w:val="none"/>
              </w:rPr>
              <w:t>P=10</w:t>
            </w:r>
            <w:r>
              <w:rPr>
                <w:rFonts w:ascii="Times New Roman" w:hAnsi="Times New Roman" w:eastAsia="Times New Roman" w:cs="Times New Roman"/>
                <w:spacing w:val="11"/>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11</w:t>
            </w:r>
            <w:r>
              <w:rPr>
                <w:rFonts w:ascii="Times New Roman" w:hAnsi="Times New Roman" w:eastAsia="Times New Roman" w:cs="Times New Roman"/>
                <w:spacing w:val="11"/>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12</w:t>
            </w:r>
            <w:r>
              <w:rPr>
                <w:rFonts w:ascii="Times New Roman" w:hAnsi="Times New Roman" w:eastAsia="Times New Roman" w:cs="Times New Roman"/>
                <w:spacing w:val="10"/>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13</w:t>
            </w:r>
            <w:r>
              <w:rPr>
                <w:rFonts w:ascii="Times New Roman" w:hAnsi="Times New Roman" w:eastAsia="Times New Roman" w:cs="Times New Roman"/>
                <w:spacing w:val="11"/>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14</w:t>
            </w:r>
            <w:r>
              <w:rPr>
                <w:rFonts w:ascii="Times New Roman" w:hAnsi="Times New Roman" w:eastAsia="Times New Roman" w:cs="Times New Roman"/>
                <w:spacing w:val="18"/>
                <w:w w:val="101"/>
                <w:sz w:val="21"/>
                <w:szCs w:val="21"/>
                <w:highlight w:val="none"/>
              </w:rPr>
              <w:t xml:space="preserve"> </w:t>
            </w:r>
            <w:r>
              <w:rPr>
                <w:spacing w:val="-9"/>
                <w:sz w:val="21"/>
                <w:szCs w:val="21"/>
                <w:highlight w:val="none"/>
              </w:rPr>
              <w:t>时，</w:t>
            </w:r>
            <w:r>
              <w:rPr>
                <w:rFonts w:ascii="Times New Roman" w:hAnsi="Times New Roman" w:eastAsia="Times New Roman" w:cs="Times New Roman"/>
                <w:spacing w:val="-9"/>
                <w:sz w:val="21"/>
                <w:szCs w:val="21"/>
                <w:highlight w:val="none"/>
              </w:rPr>
              <w:t>P1=2</w:t>
            </w:r>
            <w:r>
              <w:rPr>
                <w:spacing w:val="-9"/>
                <w:sz w:val="21"/>
                <w:szCs w:val="21"/>
                <w:highlight w:val="none"/>
              </w:rPr>
              <w:t>，</w:t>
            </w:r>
            <w:r>
              <w:rPr>
                <w:sz w:val="21"/>
                <w:szCs w:val="21"/>
                <w:highlight w:val="none"/>
              </w:rPr>
              <w:t xml:space="preserve"> </w:t>
            </w:r>
            <w:r>
              <w:rPr>
                <w:rFonts w:ascii="Times New Roman" w:hAnsi="Times New Roman" w:eastAsia="Times New Roman" w:cs="Times New Roman"/>
                <w:spacing w:val="-1"/>
                <w:sz w:val="21"/>
                <w:szCs w:val="21"/>
                <w:highlight w:val="none"/>
              </w:rPr>
              <w:t>P2=1</w:t>
            </w:r>
            <w:r>
              <w:rPr>
                <w:spacing w:val="-1"/>
                <w:sz w:val="21"/>
                <w:szCs w:val="21"/>
                <w:highlight w:val="none"/>
              </w:rPr>
              <w:t>；</w:t>
            </w:r>
          </w:p>
          <w:p w14:paraId="4AE0744D">
            <w:pPr>
              <w:pStyle w:val="92"/>
              <w:spacing w:before="269" w:line="292" w:lineRule="auto"/>
              <w:ind w:left="111" w:right="102" w:firstLine="418"/>
              <w:rPr>
                <w:sz w:val="21"/>
                <w:szCs w:val="21"/>
                <w:highlight w:val="none"/>
              </w:rPr>
            </w:pPr>
            <w:r>
              <w:rPr>
                <w:spacing w:val="-6"/>
                <w:sz w:val="21"/>
                <w:szCs w:val="21"/>
                <w:highlight w:val="none"/>
              </w:rPr>
              <w:t>③当</w:t>
            </w:r>
            <w:r>
              <w:rPr>
                <w:spacing w:val="-35"/>
                <w:sz w:val="21"/>
                <w:szCs w:val="21"/>
                <w:highlight w:val="none"/>
              </w:rPr>
              <w:t xml:space="preserve"> </w:t>
            </w:r>
            <w:r>
              <w:rPr>
                <w:rFonts w:ascii="Times New Roman" w:hAnsi="Times New Roman" w:eastAsia="Times New Roman" w:cs="Times New Roman"/>
                <w:spacing w:val="-6"/>
                <w:sz w:val="21"/>
                <w:szCs w:val="21"/>
                <w:highlight w:val="none"/>
              </w:rPr>
              <w:t>P</w:t>
            </w:r>
            <w:r>
              <w:rPr>
                <w:spacing w:val="-6"/>
                <w:sz w:val="21"/>
                <w:szCs w:val="21"/>
                <w:highlight w:val="none"/>
              </w:rPr>
              <w:t>≥</w:t>
            </w:r>
            <w:r>
              <w:rPr>
                <w:rFonts w:ascii="Times New Roman" w:hAnsi="Times New Roman" w:eastAsia="Times New Roman" w:cs="Times New Roman"/>
                <w:spacing w:val="-6"/>
                <w:sz w:val="21"/>
                <w:szCs w:val="21"/>
                <w:highlight w:val="none"/>
              </w:rPr>
              <w:t>15</w:t>
            </w:r>
            <w:r>
              <w:rPr>
                <w:rFonts w:ascii="Times New Roman" w:hAnsi="Times New Roman" w:eastAsia="Times New Roman" w:cs="Times New Roman"/>
                <w:spacing w:val="18"/>
                <w:sz w:val="21"/>
                <w:szCs w:val="21"/>
                <w:highlight w:val="none"/>
              </w:rPr>
              <w:t xml:space="preserve"> </w:t>
            </w:r>
            <w:r>
              <w:rPr>
                <w:spacing w:val="-6"/>
                <w:sz w:val="21"/>
                <w:szCs w:val="21"/>
                <w:highlight w:val="none"/>
              </w:rPr>
              <w:t>时，</w:t>
            </w:r>
            <w:r>
              <w:rPr>
                <w:rFonts w:ascii="Times New Roman" w:hAnsi="Times New Roman" w:eastAsia="Times New Roman" w:cs="Times New Roman"/>
                <w:spacing w:val="-6"/>
                <w:sz w:val="21"/>
                <w:szCs w:val="21"/>
                <w:highlight w:val="none"/>
              </w:rPr>
              <w:t>P1=Q1</w:t>
            </w:r>
            <w:r>
              <w:rPr>
                <w:rFonts w:ascii="Times New Roman" w:hAnsi="Times New Roman" w:eastAsia="Times New Roman" w:cs="Times New Roman"/>
                <w:spacing w:val="-30"/>
                <w:sz w:val="21"/>
                <w:szCs w:val="21"/>
                <w:highlight w:val="none"/>
              </w:rPr>
              <w:t xml:space="preserve"> </w:t>
            </w:r>
            <w:r>
              <w:rPr>
                <w:spacing w:val="-6"/>
                <w:sz w:val="21"/>
                <w:szCs w:val="21"/>
                <w:highlight w:val="none"/>
              </w:rPr>
              <w:t>，</w:t>
            </w:r>
            <w:r>
              <w:rPr>
                <w:rFonts w:ascii="Times New Roman" w:hAnsi="Times New Roman" w:eastAsia="Times New Roman" w:cs="Times New Roman"/>
                <w:spacing w:val="-6"/>
                <w:sz w:val="21"/>
                <w:szCs w:val="21"/>
                <w:highlight w:val="none"/>
              </w:rPr>
              <w:t>P2=Q2</w:t>
            </w:r>
            <w:r>
              <w:rPr>
                <w:rFonts w:ascii="Times New Roman" w:hAnsi="Times New Roman" w:eastAsia="Times New Roman" w:cs="Times New Roman"/>
                <w:spacing w:val="-23"/>
                <w:sz w:val="21"/>
                <w:szCs w:val="21"/>
                <w:highlight w:val="none"/>
              </w:rPr>
              <w:t xml:space="preserve"> </w:t>
            </w:r>
            <w:r>
              <w:rPr>
                <w:spacing w:val="-6"/>
                <w:sz w:val="21"/>
                <w:szCs w:val="21"/>
                <w:highlight w:val="none"/>
              </w:rPr>
              <w:t>。</w:t>
            </w:r>
            <w:r>
              <w:rPr>
                <w:rFonts w:ascii="Times New Roman" w:hAnsi="Times New Roman" w:eastAsia="Times New Roman" w:cs="Times New Roman"/>
                <w:spacing w:val="-6"/>
                <w:sz w:val="21"/>
                <w:szCs w:val="21"/>
                <w:highlight w:val="none"/>
              </w:rPr>
              <w:t>Q1</w:t>
            </w:r>
            <w:r>
              <w:rPr>
                <w:rFonts w:ascii="Times New Roman" w:hAnsi="Times New Roman" w:eastAsia="Times New Roman" w:cs="Times New Roman"/>
                <w:spacing w:val="-30"/>
                <w:sz w:val="21"/>
                <w:szCs w:val="21"/>
                <w:highlight w:val="none"/>
              </w:rPr>
              <w:t xml:space="preserve"> </w:t>
            </w:r>
            <w:r>
              <w:rPr>
                <w:spacing w:val="-6"/>
                <w:sz w:val="21"/>
                <w:szCs w:val="21"/>
                <w:highlight w:val="none"/>
              </w:rPr>
              <w:t>、</w:t>
            </w:r>
            <w:r>
              <w:rPr>
                <w:rFonts w:ascii="Times New Roman" w:hAnsi="Times New Roman" w:eastAsia="Times New Roman" w:cs="Times New Roman"/>
                <w:spacing w:val="-6"/>
                <w:sz w:val="21"/>
                <w:szCs w:val="21"/>
                <w:highlight w:val="none"/>
              </w:rPr>
              <w:t>Q2</w:t>
            </w:r>
            <w:r>
              <w:rPr>
                <w:rFonts w:ascii="Times New Roman" w:hAnsi="Times New Roman" w:eastAsia="Times New Roman" w:cs="Times New Roman"/>
                <w:spacing w:val="12"/>
                <w:sz w:val="21"/>
                <w:szCs w:val="21"/>
                <w:highlight w:val="none"/>
              </w:rPr>
              <w:t xml:space="preserve"> </w:t>
            </w:r>
            <w:r>
              <w:rPr>
                <w:spacing w:val="-6"/>
                <w:sz w:val="21"/>
                <w:szCs w:val="21"/>
                <w:highlight w:val="none"/>
              </w:rPr>
              <w:t>是在取</w:t>
            </w:r>
            <w:r>
              <w:rPr>
                <w:spacing w:val="-1"/>
                <w:sz w:val="21"/>
                <w:szCs w:val="21"/>
                <w:highlight w:val="none"/>
              </w:rPr>
              <w:t>值区间（</w:t>
            </w:r>
            <w:r>
              <w:rPr>
                <w:rFonts w:ascii="Times New Roman" w:hAnsi="Times New Roman" w:eastAsia="Times New Roman" w:cs="Times New Roman"/>
                <w:spacing w:val="-1"/>
                <w:sz w:val="21"/>
                <w:szCs w:val="21"/>
                <w:highlight w:val="none"/>
              </w:rPr>
              <w:t>1</w:t>
            </w:r>
            <w:r>
              <w:rPr>
                <w:spacing w:val="-1"/>
                <w:sz w:val="21"/>
                <w:szCs w:val="21"/>
                <w:highlight w:val="none"/>
              </w:rPr>
              <w:t>～</w:t>
            </w:r>
            <w:r>
              <w:rPr>
                <w:rFonts w:ascii="Times New Roman" w:hAnsi="Times New Roman" w:eastAsia="Times New Roman" w:cs="Times New Roman"/>
                <w:spacing w:val="-1"/>
                <w:sz w:val="21"/>
                <w:szCs w:val="21"/>
                <w:highlight w:val="none"/>
              </w:rPr>
              <w:t>Q</w:t>
            </w:r>
            <w:r>
              <w:rPr>
                <w:spacing w:val="-1"/>
                <w:sz w:val="21"/>
                <w:szCs w:val="21"/>
                <w:highlight w:val="none"/>
              </w:rPr>
              <w:t>）中随机抽取的两个数值，较大的数值</w:t>
            </w:r>
            <w:r>
              <w:rPr>
                <w:spacing w:val="-3"/>
                <w:sz w:val="21"/>
                <w:szCs w:val="21"/>
                <w:highlight w:val="none"/>
              </w:rPr>
              <w:t>为</w:t>
            </w:r>
            <w:r>
              <w:rPr>
                <w:spacing w:val="-44"/>
                <w:sz w:val="21"/>
                <w:szCs w:val="21"/>
                <w:highlight w:val="none"/>
              </w:rPr>
              <w:t xml:space="preserve"> </w:t>
            </w:r>
            <w:r>
              <w:rPr>
                <w:rFonts w:ascii="Times New Roman" w:hAnsi="Times New Roman" w:eastAsia="Times New Roman" w:cs="Times New Roman"/>
                <w:spacing w:val="-3"/>
                <w:sz w:val="21"/>
                <w:szCs w:val="21"/>
                <w:highlight w:val="none"/>
              </w:rPr>
              <w:t>Q1</w:t>
            </w:r>
            <w:r>
              <w:rPr>
                <w:spacing w:val="-3"/>
                <w:sz w:val="21"/>
                <w:szCs w:val="21"/>
                <w:highlight w:val="none"/>
              </w:rPr>
              <w:t>，较小的数值为</w:t>
            </w:r>
            <w:r>
              <w:rPr>
                <w:spacing w:val="-35"/>
                <w:sz w:val="21"/>
                <w:szCs w:val="21"/>
                <w:highlight w:val="none"/>
              </w:rPr>
              <w:t xml:space="preserve"> </w:t>
            </w:r>
            <w:r>
              <w:rPr>
                <w:rFonts w:ascii="Times New Roman" w:hAnsi="Times New Roman" w:eastAsia="Times New Roman" w:cs="Times New Roman"/>
                <w:spacing w:val="-3"/>
                <w:sz w:val="21"/>
                <w:szCs w:val="21"/>
                <w:highlight w:val="none"/>
              </w:rPr>
              <w:t>Q2</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Q=INT</w:t>
            </w:r>
            <w:r>
              <w:rPr>
                <w:spacing w:val="-3"/>
                <w:sz w:val="21"/>
                <w:szCs w:val="21"/>
                <w:highlight w:val="none"/>
              </w:rPr>
              <w:t>（</w:t>
            </w:r>
            <w:r>
              <w:rPr>
                <w:rFonts w:ascii="Times New Roman" w:hAnsi="Times New Roman" w:eastAsia="Times New Roman" w:cs="Times New Roman"/>
                <w:spacing w:val="-3"/>
                <w:sz w:val="21"/>
                <w:szCs w:val="21"/>
                <w:highlight w:val="none"/>
              </w:rPr>
              <w:t>P/5</w:t>
            </w:r>
            <w:r>
              <w:rPr>
                <w:spacing w:val="-8"/>
                <w:sz w:val="21"/>
                <w:szCs w:val="21"/>
                <w:highlight w:val="none"/>
              </w:rPr>
              <w:t>），</w:t>
            </w:r>
            <w:r>
              <w:rPr>
                <w:spacing w:val="-3"/>
                <w:sz w:val="21"/>
                <w:szCs w:val="21"/>
                <w:highlight w:val="none"/>
              </w:rPr>
              <w:t>即</w:t>
            </w:r>
            <w:r>
              <w:rPr>
                <w:spacing w:val="-23"/>
                <w:sz w:val="21"/>
                <w:szCs w:val="21"/>
                <w:highlight w:val="none"/>
              </w:rPr>
              <w:t xml:space="preserve"> </w:t>
            </w:r>
            <w:r>
              <w:rPr>
                <w:rFonts w:ascii="Times New Roman" w:hAnsi="Times New Roman" w:eastAsia="Times New Roman" w:cs="Times New Roman"/>
                <w:spacing w:val="-3"/>
                <w:sz w:val="21"/>
                <w:szCs w:val="21"/>
                <w:highlight w:val="none"/>
              </w:rPr>
              <w:t xml:space="preserve">Q </w:t>
            </w:r>
            <w:r>
              <w:rPr>
                <w:spacing w:val="-3"/>
                <w:sz w:val="21"/>
                <w:szCs w:val="21"/>
                <w:highlight w:val="none"/>
              </w:rPr>
              <w:t>为</w:t>
            </w:r>
            <w:r>
              <w:rPr>
                <w:spacing w:val="-4"/>
                <w:sz w:val="21"/>
                <w:szCs w:val="21"/>
                <w:highlight w:val="none"/>
              </w:rPr>
              <w:t>（</w:t>
            </w:r>
            <w:r>
              <w:rPr>
                <w:rFonts w:ascii="Times New Roman" w:hAnsi="Times New Roman" w:eastAsia="Times New Roman" w:cs="Times New Roman"/>
                <w:spacing w:val="-4"/>
                <w:sz w:val="21"/>
                <w:szCs w:val="21"/>
                <w:highlight w:val="none"/>
              </w:rPr>
              <w:t>P/5</w:t>
            </w:r>
            <w:r>
              <w:rPr>
                <w:spacing w:val="-4"/>
                <w:sz w:val="21"/>
                <w:szCs w:val="21"/>
                <w:highlight w:val="none"/>
              </w:rPr>
              <w:t xml:space="preserve">）向下取整且最小为 </w:t>
            </w:r>
            <w:r>
              <w:rPr>
                <w:rFonts w:ascii="Times New Roman" w:hAnsi="Times New Roman" w:eastAsia="Times New Roman" w:cs="Times New Roman"/>
                <w:spacing w:val="-4"/>
                <w:sz w:val="21"/>
                <w:szCs w:val="21"/>
                <w:highlight w:val="none"/>
              </w:rPr>
              <w:t>1</w:t>
            </w:r>
            <w:r>
              <w:rPr>
                <w:spacing w:val="-4"/>
                <w:sz w:val="21"/>
                <w:szCs w:val="21"/>
                <w:highlight w:val="none"/>
              </w:rPr>
              <w:t>。</w:t>
            </w:r>
          </w:p>
          <w:p w14:paraId="6495F145">
            <w:pPr>
              <w:pStyle w:val="92"/>
              <w:spacing w:before="269" w:line="284" w:lineRule="auto"/>
              <w:ind w:left="110" w:right="111" w:firstLine="426"/>
              <w:rPr>
                <w:sz w:val="21"/>
                <w:szCs w:val="21"/>
                <w:highlight w:val="none"/>
              </w:rPr>
            </w:pPr>
            <w:r>
              <w:rPr>
                <w:spacing w:val="-4"/>
                <w:sz w:val="21"/>
                <w:szCs w:val="21"/>
                <w:highlight w:val="none"/>
              </w:rPr>
              <w:t>（</w:t>
            </w:r>
            <w:r>
              <w:rPr>
                <w:rFonts w:ascii="Times New Roman" w:hAnsi="Times New Roman" w:eastAsia="Times New Roman" w:cs="Times New Roman"/>
                <w:spacing w:val="-4"/>
                <w:sz w:val="21"/>
                <w:szCs w:val="21"/>
                <w:highlight w:val="none"/>
              </w:rPr>
              <w:t>2</w:t>
            </w:r>
            <w:r>
              <w:rPr>
                <w:spacing w:val="-4"/>
                <w:sz w:val="21"/>
                <w:szCs w:val="21"/>
                <w:highlight w:val="none"/>
              </w:rPr>
              <w:t>）然后，将其余评标价由低到高排列，对排列</w:t>
            </w:r>
            <w:r>
              <w:rPr>
                <w:spacing w:val="-7"/>
                <w:sz w:val="21"/>
                <w:szCs w:val="21"/>
                <w:highlight w:val="none"/>
              </w:rPr>
              <w:t>第（</w:t>
            </w:r>
            <w:r>
              <w:rPr>
                <w:rFonts w:ascii="Times New Roman" w:hAnsi="Times New Roman" w:eastAsia="Times New Roman" w:cs="Times New Roman"/>
                <w:spacing w:val="-7"/>
                <w:sz w:val="21"/>
                <w:szCs w:val="21"/>
                <w:highlight w:val="none"/>
              </w:rPr>
              <w:t>1</w:t>
            </w:r>
            <w:r>
              <w:rPr>
                <w:rFonts w:ascii="Times New Roman" w:hAnsi="Times New Roman" w:eastAsia="Times New Roman" w:cs="Times New Roman"/>
                <w:spacing w:val="-15"/>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1+R</w:t>
            </w:r>
            <w:r>
              <w:rPr>
                <w:rFonts w:ascii="Times New Roman" w:hAnsi="Times New Roman" w:eastAsia="Times New Roman" w:cs="Times New Roman"/>
                <w:spacing w:val="-31"/>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1+2R</w:t>
            </w:r>
            <w:r>
              <w:rPr>
                <w:rFonts w:ascii="Times New Roman" w:hAnsi="Times New Roman" w:eastAsia="Times New Roman" w:cs="Times New Roman"/>
                <w:spacing w:val="-32"/>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1+SR</w:t>
            </w:r>
            <w:r>
              <w:rPr>
                <w:spacing w:val="-7"/>
                <w:sz w:val="21"/>
                <w:szCs w:val="21"/>
                <w:highlight w:val="none"/>
              </w:rPr>
              <w:t>）的评标价进行算术</w:t>
            </w:r>
            <w:r>
              <w:rPr>
                <w:spacing w:val="-2"/>
                <w:sz w:val="21"/>
                <w:szCs w:val="21"/>
                <w:highlight w:val="none"/>
              </w:rPr>
              <w:t>平均，该算术平均值为评标价平均值（</w:t>
            </w:r>
            <w:r>
              <w:rPr>
                <w:rFonts w:ascii="Times New Roman" w:hAnsi="Times New Roman" w:eastAsia="Times New Roman" w:cs="Times New Roman"/>
                <w:spacing w:val="-2"/>
                <w:sz w:val="21"/>
                <w:szCs w:val="21"/>
                <w:highlight w:val="none"/>
              </w:rPr>
              <w:t>B</w:t>
            </w:r>
            <w:r>
              <w:rPr>
                <w:spacing w:val="-2"/>
                <w:sz w:val="21"/>
                <w:szCs w:val="21"/>
                <w:highlight w:val="none"/>
              </w:rPr>
              <w:t>）。</w:t>
            </w:r>
          </w:p>
          <w:p w14:paraId="18B62A95">
            <w:pPr>
              <w:keepNext w:val="0"/>
              <w:keepLines w:val="0"/>
              <w:pageBreakBefore w:val="0"/>
              <w:widowControl/>
              <w:kinsoku/>
              <w:wordWrap/>
              <w:overflowPunct/>
              <w:topLinePunct w:val="0"/>
              <w:autoSpaceDE/>
              <w:autoSpaceDN/>
              <w:bidi w:val="0"/>
              <w:adjustRightInd/>
              <w:snapToGrid/>
              <w:spacing w:line="360" w:lineRule="exact"/>
              <w:ind w:firstLine="416" w:firstLineChars="200"/>
              <w:jc w:val="left"/>
              <w:textAlignment w:val="auto"/>
              <w:rPr>
                <w:spacing w:val="-10"/>
                <w:sz w:val="21"/>
                <w:szCs w:val="21"/>
                <w:highlight w:val="none"/>
              </w:rPr>
            </w:pPr>
            <w:r>
              <w:rPr>
                <w:rFonts w:ascii="Times New Roman" w:hAnsi="Times New Roman" w:eastAsia="Times New Roman" w:cs="Times New Roman"/>
                <w:spacing w:val="-1"/>
                <w:sz w:val="21"/>
                <w:szCs w:val="21"/>
                <w:highlight w:val="none"/>
              </w:rPr>
              <w:t xml:space="preserve">R </w:t>
            </w:r>
            <w:r>
              <w:rPr>
                <w:spacing w:val="-1"/>
                <w:sz w:val="21"/>
                <w:szCs w:val="21"/>
                <w:highlight w:val="none"/>
              </w:rPr>
              <w:t>为随机步距，在开标现场随机抽取，取值范围</w:t>
            </w:r>
            <w:r>
              <w:rPr>
                <w:spacing w:val="-10"/>
                <w:sz w:val="21"/>
                <w:szCs w:val="21"/>
                <w:highlight w:val="none"/>
              </w:rPr>
              <w:t>为</w:t>
            </w:r>
            <w:r>
              <w:rPr>
                <w:spacing w:val="-40"/>
                <w:sz w:val="21"/>
                <w:szCs w:val="21"/>
                <w:highlight w:val="none"/>
              </w:rPr>
              <w:t xml:space="preserve"> </w:t>
            </w:r>
            <w:r>
              <w:rPr>
                <w:rFonts w:ascii="Times New Roman" w:hAnsi="Times New Roman" w:eastAsia="Times New Roman" w:cs="Times New Roman"/>
                <w:spacing w:val="-10"/>
                <w:sz w:val="21"/>
                <w:szCs w:val="21"/>
                <w:highlight w:val="none"/>
              </w:rPr>
              <w:t>3</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4</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5</w:t>
            </w:r>
            <w:r>
              <w:rPr>
                <w:spacing w:val="-10"/>
                <w:sz w:val="21"/>
                <w:szCs w:val="21"/>
                <w:highlight w:val="none"/>
              </w:rPr>
              <w:t>。</w:t>
            </w:r>
          </w:p>
          <w:p w14:paraId="624685BF">
            <w:pPr>
              <w:pStyle w:val="92"/>
              <w:spacing w:before="106" w:line="309" w:lineRule="auto"/>
              <w:ind w:left="120" w:right="102" w:firstLine="416"/>
              <w:rPr>
                <w:sz w:val="21"/>
                <w:szCs w:val="21"/>
                <w:highlight w:val="none"/>
              </w:rPr>
            </w:pPr>
            <w:r>
              <w:rPr>
                <w:rFonts w:ascii="Times New Roman" w:hAnsi="Times New Roman" w:eastAsia="Times New Roman" w:cs="Times New Roman"/>
                <w:spacing w:val="-2"/>
                <w:sz w:val="21"/>
                <w:szCs w:val="21"/>
                <w:highlight w:val="none"/>
              </w:rPr>
              <w:t xml:space="preserve">S </w:t>
            </w:r>
            <w:r>
              <w:rPr>
                <w:spacing w:val="-2"/>
                <w:sz w:val="21"/>
                <w:szCs w:val="21"/>
                <w:highlight w:val="none"/>
              </w:rPr>
              <w:t>为步距个数，</w:t>
            </w:r>
            <w:r>
              <w:rPr>
                <w:rFonts w:ascii="Times New Roman" w:hAnsi="Times New Roman" w:eastAsia="Times New Roman" w:cs="Times New Roman"/>
                <w:spacing w:val="-2"/>
                <w:sz w:val="21"/>
                <w:szCs w:val="21"/>
                <w:highlight w:val="none"/>
              </w:rPr>
              <w:t>S=INT[</w:t>
            </w:r>
            <w:r>
              <w:rPr>
                <w:spacing w:val="-2"/>
                <w:sz w:val="21"/>
                <w:szCs w:val="21"/>
                <w:highlight w:val="none"/>
              </w:rPr>
              <w:t>（</w:t>
            </w:r>
            <w:r>
              <w:rPr>
                <w:rFonts w:ascii="Times New Roman" w:hAnsi="Times New Roman" w:eastAsia="Times New Roman" w:cs="Times New Roman"/>
                <w:spacing w:val="-2"/>
                <w:sz w:val="21"/>
                <w:szCs w:val="21"/>
                <w:highlight w:val="none"/>
              </w:rPr>
              <w:t>P-P1-P2-1</w:t>
            </w:r>
            <w:r>
              <w:rPr>
                <w:spacing w:val="-2"/>
                <w:sz w:val="21"/>
                <w:szCs w:val="21"/>
                <w:highlight w:val="none"/>
              </w:rPr>
              <w:t>）</w:t>
            </w:r>
            <w:r>
              <w:rPr>
                <w:rFonts w:ascii="Times New Roman" w:hAnsi="Times New Roman" w:eastAsia="Times New Roman" w:cs="Times New Roman"/>
                <w:spacing w:val="-2"/>
                <w:sz w:val="21"/>
                <w:szCs w:val="21"/>
                <w:highlight w:val="none"/>
              </w:rPr>
              <w:t>/R]</w:t>
            </w:r>
            <w:r>
              <w:rPr>
                <w:spacing w:val="-2"/>
                <w:sz w:val="21"/>
                <w:szCs w:val="21"/>
                <w:highlight w:val="none"/>
              </w:rPr>
              <w:t>，即</w:t>
            </w:r>
            <w:r>
              <w:rPr>
                <w:spacing w:val="-38"/>
                <w:sz w:val="21"/>
                <w:szCs w:val="21"/>
                <w:highlight w:val="none"/>
              </w:rPr>
              <w:t xml:space="preserve"> </w:t>
            </w:r>
            <w:r>
              <w:rPr>
                <w:rFonts w:ascii="Times New Roman" w:hAnsi="Times New Roman" w:eastAsia="Times New Roman" w:cs="Times New Roman"/>
                <w:spacing w:val="-2"/>
                <w:sz w:val="21"/>
                <w:szCs w:val="21"/>
                <w:highlight w:val="none"/>
              </w:rPr>
              <w:t xml:space="preserve">S </w:t>
            </w:r>
            <w:r>
              <w:rPr>
                <w:spacing w:val="-2"/>
                <w:sz w:val="21"/>
                <w:szCs w:val="21"/>
                <w:highlight w:val="none"/>
              </w:rPr>
              <w:t>为</w:t>
            </w:r>
            <w:r>
              <w:rPr>
                <w:rFonts w:ascii="Times New Roman" w:hAnsi="Times New Roman" w:eastAsia="Times New Roman" w:cs="Times New Roman"/>
                <w:spacing w:val="-3"/>
                <w:sz w:val="21"/>
                <w:szCs w:val="21"/>
                <w:highlight w:val="none"/>
              </w:rPr>
              <w:t>[</w:t>
            </w:r>
            <w:r>
              <w:rPr>
                <w:spacing w:val="-3"/>
                <w:sz w:val="21"/>
                <w:szCs w:val="21"/>
                <w:highlight w:val="none"/>
              </w:rPr>
              <w:t>（</w:t>
            </w:r>
            <w:r>
              <w:rPr>
                <w:rFonts w:ascii="Times New Roman" w:hAnsi="Times New Roman" w:eastAsia="Times New Roman" w:cs="Times New Roman"/>
                <w:spacing w:val="-3"/>
                <w:sz w:val="21"/>
                <w:szCs w:val="21"/>
                <w:highlight w:val="none"/>
              </w:rPr>
              <w:t>P-P1-P2-1</w:t>
            </w:r>
            <w:r>
              <w:rPr>
                <w:spacing w:val="-3"/>
                <w:sz w:val="21"/>
                <w:szCs w:val="21"/>
                <w:highlight w:val="none"/>
              </w:rPr>
              <w:t>）</w:t>
            </w:r>
            <w:r>
              <w:rPr>
                <w:rFonts w:ascii="Times New Roman" w:hAnsi="Times New Roman" w:eastAsia="Times New Roman" w:cs="Times New Roman"/>
                <w:spacing w:val="-3"/>
                <w:sz w:val="21"/>
                <w:szCs w:val="21"/>
                <w:highlight w:val="none"/>
              </w:rPr>
              <w:t>/R]</w:t>
            </w:r>
            <w:r>
              <w:rPr>
                <w:spacing w:val="-3"/>
                <w:sz w:val="21"/>
                <w:szCs w:val="21"/>
                <w:highlight w:val="none"/>
              </w:rPr>
              <w:t>向下取整。</w:t>
            </w:r>
          </w:p>
          <w:p w14:paraId="1968F470">
            <w:pPr>
              <w:pStyle w:val="92"/>
              <w:spacing w:before="177" w:line="219" w:lineRule="auto"/>
              <w:ind w:left="534"/>
              <w:rPr>
                <w:sz w:val="21"/>
                <w:szCs w:val="21"/>
                <w:highlight w:val="none"/>
              </w:rPr>
            </w:pPr>
            <w:r>
              <w:rPr>
                <w:b/>
                <w:bCs/>
                <w:spacing w:val="-3"/>
                <w:sz w:val="21"/>
                <w:szCs w:val="21"/>
                <w:highlight w:val="none"/>
              </w:rPr>
              <w:t>五、评标基准价（</w:t>
            </w:r>
            <w:r>
              <w:rPr>
                <w:rFonts w:ascii="Times New Roman" w:hAnsi="Times New Roman" w:eastAsia="Times New Roman" w:cs="Times New Roman"/>
                <w:b/>
                <w:bCs/>
                <w:spacing w:val="-3"/>
                <w:sz w:val="21"/>
                <w:szCs w:val="21"/>
                <w:highlight w:val="none"/>
              </w:rPr>
              <w:t>D</w:t>
            </w:r>
            <w:r>
              <w:rPr>
                <w:b/>
                <w:bCs/>
                <w:spacing w:val="-3"/>
                <w:sz w:val="21"/>
                <w:szCs w:val="21"/>
                <w:highlight w:val="none"/>
              </w:rPr>
              <w:t>）</w:t>
            </w:r>
          </w:p>
          <w:p w14:paraId="77449C6D">
            <w:pPr>
              <w:pStyle w:val="92"/>
              <w:spacing w:before="79" w:line="314" w:lineRule="auto"/>
              <w:ind w:left="116" w:right="42" w:firstLine="409"/>
              <w:rPr>
                <w:sz w:val="21"/>
                <w:szCs w:val="21"/>
                <w:highlight w:val="none"/>
              </w:rPr>
            </w:pPr>
            <w:r>
              <w:rPr>
                <w:rFonts w:ascii="Times New Roman" w:hAnsi="Times New Roman" w:eastAsia="Times New Roman" w:cs="Times New Roman"/>
                <w:spacing w:val="-3"/>
                <w:sz w:val="21"/>
                <w:szCs w:val="21"/>
                <w:highlight w:val="none"/>
              </w:rPr>
              <w:t>D=D=[C*K+B*</w:t>
            </w:r>
            <w:r>
              <w:rPr>
                <w:spacing w:val="-3"/>
                <w:sz w:val="21"/>
                <w:szCs w:val="21"/>
                <w:highlight w:val="none"/>
              </w:rPr>
              <w:t>（</w:t>
            </w:r>
            <w:r>
              <w:rPr>
                <w:rFonts w:ascii="Times New Roman" w:hAnsi="Times New Roman" w:eastAsia="Times New Roman" w:cs="Times New Roman"/>
                <w:spacing w:val="-3"/>
                <w:sz w:val="21"/>
                <w:szCs w:val="21"/>
                <w:highlight w:val="none"/>
              </w:rPr>
              <w:t>1-K</w:t>
            </w:r>
            <w:r>
              <w:rPr>
                <w:spacing w:val="-3"/>
                <w:sz w:val="21"/>
                <w:szCs w:val="21"/>
                <w:highlight w:val="none"/>
              </w:rPr>
              <w:t>）</w:t>
            </w:r>
            <w:r>
              <w:rPr>
                <w:rFonts w:ascii="Times New Roman" w:hAnsi="Times New Roman" w:eastAsia="Times New Roman" w:cs="Times New Roman"/>
                <w:spacing w:val="-3"/>
                <w:sz w:val="21"/>
                <w:szCs w:val="21"/>
                <w:highlight w:val="none"/>
              </w:rPr>
              <w:t>]*</w:t>
            </w:r>
            <w:r>
              <w:rPr>
                <w:spacing w:val="-3"/>
                <w:sz w:val="21"/>
                <w:szCs w:val="21"/>
                <w:highlight w:val="none"/>
              </w:rPr>
              <w:t>（</w:t>
            </w:r>
            <w:r>
              <w:rPr>
                <w:rFonts w:ascii="Times New Roman" w:hAnsi="Times New Roman" w:eastAsia="Times New Roman" w:cs="Times New Roman"/>
                <w:spacing w:val="-4"/>
                <w:sz w:val="21"/>
                <w:szCs w:val="21"/>
                <w:highlight w:val="none"/>
              </w:rPr>
              <w:t>1-Z</w:t>
            </w:r>
            <w:r>
              <w:rPr>
                <w:spacing w:val="-40"/>
                <w:sz w:val="21"/>
                <w:szCs w:val="21"/>
                <w:highlight w:val="none"/>
              </w:rPr>
              <w:t>），</w:t>
            </w:r>
            <w:r>
              <w:rPr>
                <w:spacing w:val="-4"/>
                <w:sz w:val="21"/>
                <w:szCs w:val="21"/>
                <w:highlight w:val="none"/>
              </w:rPr>
              <w:t>保留七位小数，</w:t>
            </w:r>
            <w:r>
              <w:rPr>
                <w:spacing w:val="-3"/>
                <w:sz w:val="21"/>
                <w:szCs w:val="21"/>
                <w:highlight w:val="none"/>
              </w:rPr>
              <w:t>小数点后第八位“四舍五入”。</w:t>
            </w:r>
          </w:p>
          <w:p w14:paraId="34F036DE">
            <w:pPr>
              <w:pStyle w:val="92"/>
              <w:spacing w:before="197" w:line="221" w:lineRule="auto"/>
              <w:ind w:left="535"/>
              <w:rPr>
                <w:sz w:val="21"/>
                <w:szCs w:val="21"/>
                <w:highlight w:val="none"/>
              </w:rPr>
            </w:pPr>
            <w:r>
              <w:rPr>
                <w:spacing w:val="-14"/>
                <w:sz w:val="21"/>
                <w:szCs w:val="21"/>
                <w:highlight w:val="none"/>
              </w:rPr>
              <w:t>式中：</w:t>
            </w:r>
          </w:p>
          <w:p w14:paraId="401127F3">
            <w:pPr>
              <w:pStyle w:val="92"/>
              <w:spacing w:before="269" w:line="268" w:lineRule="auto"/>
              <w:ind w:left="110" w:right="102" w:firstLine="437"/>
              <w:rPr>
                <w:sz w:val="21"/>
                <w:szCs w:val="21"/>
                <w:highlight w:val="none"/>
              </w:rPr>
            </w:pPr>
            <w:r>
              <w:rPr>
                <w:rFonts w:ascii="Times New Roman" w:hAnsi="Times New Roman" w:eastAsia="Times New Roman" w:cs="Times New Roman"/>
                <w:spacing w:val="-3"/>
                <w:sz w:val="21"/>
                <w:szCs w:val="21"/>
                <w:highlight w:val="none"/>
              </w:rPr>
              <w:t>1</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 xml:space="preserve">C </w:t>
            </w:r>
            <w:r>
              <w:rPr>
                <w:spacing w:val="-3"/>
                <w:sz w:val="21"/>
                <w:szCs w:val="21"/>
                <w:highlight w:val="none"/>
              </w:rPr>
              <w:t>为招标人设定的最高投标限价，</w:t>
            </w:r>
            <w:r>
              <w:rPr>
                <w:rFonts w:ascii="Times New Roman" w:hAnsi="Times New Roman" w:eastAsia="Times New Roman" w:cs="Times New Roman"/>
                <w:spacing w:val="-3"/>
                <w:sz w:val="21"/>
                <w:szCs w:val="21"/>
                <w:highlight w:val="none"/>
              </w:rPr>
              <w:t xml:space="preserve">B </w:t>
            </w:r>
            <w:r>
              <w:rPr>
                <w:spacing w:val="-3"/>
                <w:sz w:val="21"/>
                <w:szCs w:val="21"/>
                <w:highlight w:val="none"/>
              </w:rPr>
              <w:t>为评标价</w:t>
            </w:r>
            <w:r>
              <w:rPr>
                <w:spacing w:val="-7"/>
                <w:sz w:val="21"/>
                <w:szCs w:val="21"/>
                <w:highlight w:val="none"/>
              </w:rPr>
              <w:t>平均值。</w:t>
            </w:r>
          </w:p>
          <w:p w14:paraId="7063A607">
            <w:pPr>
              <w:pStyle w:val="92"/>
              <w:spacing w:before="271" w:line="292" w:lineRule="auto"/>
              <w:ind w:left="110" w:right="154" w:firstLine="416"/>
              <w:rPr>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30"/>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 xml:space="preserve">K </w:t>
            </w:r>
            <w:r>
              <w:rPr>
                <w:spacing w:val="-1"/>
                <w:sz w:val="21"/>
                <w:szCs w:val="21"/>
                <w:highlight w:val="none"/>
              </w:rPr>
              <w:t>为权重系数，</w:t>
            </w:r>
            <w:r>
              <w:rPr>
                <w:rFonts w:ascii="Times New Roman" w:hAnsi="Times New Roman" w:eastAsia="Times New Roman" w:cs="Times New Roman"/>
                <w:spacing w:val="-1"/>
                <w:sz w:val="21"/>
                <w:szCs w:val="21"/>
                <w:highlight w:val="none"/>
              </w:rPr>
              <w:t>K=[</w:t>
            </w:r>
            <w:r>
              <w:rPr>
                <w:spacing w:val="-1"/>
                <w:sz w:val="21"/>
                <w:szCs w:val="21"/>
                <w:highlight w:val="none"/>
              </w:rPr>
              <w:t>（</w:t>
            </w:r>
            <w:r>
              <w:rPr>
                <w:rFonts w:ascii="Times New Roman" w:hAnsi="Times New Roman" w:eastAsia="Times New Roman" w:cs="Times New Roman"/>
                <w:spacing w:val="-1"/>
                <w:sz w:val="21"/>
                <w:szCs w:val="21"/>
                <w:highlight w:val="none"/>
              </w:rPr>
              <w:t>K1/10</w:t>
            </w:r>
            <w:r>
              <w:rPr>
                <w:spacing w:val="-1"/>
                <w:sz w:val="21"/>
                <w:szCs w:val="21"/>
                <w:highlight w:val="none"/>
              </w:rPr>
              <w:t>）</w:t>
            </w:r>
            <w:r>
              <w:rPr>
                <w:rFonts w:ascii="Times New Roman" w:hAnsi="Times New Roman" w:eastAsia="Times New Roman" w:cs="Times New Roman"/>
                <w:spacing w:val="-1"/>
                <w:sz w:val="21"/>
                <w:szCs w:val="21"/>
                <w:highlight w:val="none"/>
              </w:rPr>
              <w:t>+K2</w:t>
            </w:r>
            <w:r>
              <w:rPr>
                <w:rFonts w:ascii="Times New Roman" w:hAnsi="Times New Roman" w:eastAsia="Times New Roman" w:cs="Times New Roman"/>
                <w:spacing w:val="-2"/>
                <w:sz w:val="21"/>
                <w:szCs w:val="21"/>
                <w:highlight w:val="none"/>
              </w:rPr>
              <w:t>]/10</w:t>
            </w:r>
            <w:r>
              <w:rPr>
                <w:spacing w:val="-2"/>
                <w:sz w:val="21"/>
                <w:szCs w:val="21"/>
                <w:highlight w:val="none"/>
              </w:rPr>
              <w:t>。各标</w:t>
            </w:r>
            <w:r>
              <w:rPr>
                <w:spacing w:val="-10"/>
                <w:sz w:val="21"/>
                <w:szCs w:val="21"/>
                <w:highlight w:val="none"/>
              </w:rPr>
              <w:t>段的</w:t>
            </w:r>
            <w:r>
              <w:rPr>
                <w:spacing w:val="-42"/>
                <w:sz w:val="21"/>
                <w:szCs w:val="21"/>
                <w:highlight w:val="none"/>
              </w:rPr>
              <w:t xml:space="preserve"> </w:t>
            </w:r>
            <w:r>
              <w:rPr>
                <w:rFonts w:ascii="Times New Roman" w:hAnsi="Times New Roman" w:eastAsia="Times New Roman" w:cs="Times New Roman"/>
                <w:spacing w:val="-10"/>
                <w:sz w:val="21"/>
                <w:szCs w:val="21"/>
                <w:highlight w:val="none"/>
              </w:rPr>
              <w:t xml:space="preserve">K1 </w:t>
            </w:r>
            <w:r>
              <w:rPr>
                <w:spacing w:val="-10"/>
                <w:sz w:val="21"/>
                <w:szCs w:val="21"/>
                <w:highlight w:val="none"/>
              </w:rPr>
              <w:t>在开标现场从</w:t>
            </w:r>
            <w:r>
              <w:rPr>
                <w:spacing w:val="-44"/>
                <w:sz w:val="21"/>
                <w:szCs w:val="21"/>
                <w:highlight w:val="none"/>
              </w:rPr>
              <w:t xml:space="preserve"> </w:t>
            </w:r>
            <w:r>
              <w:rPr>
                <w:rFonts w:ascii="Times New Roman" w:hAnsi="Times New Roman" w:eastAsia="Times New Roman" w:cs="Times New Roman"/>
                <w:spacing w:val="-10"/>
                <w:sz w:val="21"/>
                <w:szCs w:val="21"/>
                <w:highlight w:val="none"/>
              </w:rPr>
              <w:t>0</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1</w:t>
            </w:r>
            <w:r>
              <w:rPr>
                <w:spacing w:val="-10"/>
                <w:sz w:val="21"/>
                <w:szCs w:val="21"/>
                <w:highlight w:val="none"/>
              </w:rPr>
              <w:t>、</w:t>
            </w:r>
            <w:r>
              <w:rPr>
                <w:rFonts w:ascii="Times New Roman" w:hAnsi="Times New Roman" w:eastAsia="Times New Roman" w:cs="Times New Roman"/>
                <w:spacing w:val="-10"/>
                <w:sz w:val="21"/>
                <w:szCs w:val="21"/>
                <w:highlight w:val="none"/>
              </w:rPr>
              <w:t>2</w:t>
            </w:r>
            <w:r>
              <w:rPr>
                <w:spacing w:val="-10"/>
                <w:sz w:val="21"/>
                <w:szCs w:val="21"/>
                <w:highlight w:val="none"/>
              </w:rPr>
              <w:t>、</w:t>
            </w:r>
            <w:r>
              <w:rPr>
                <w:rFonts w:ascii="Times New Roman" w:hAnsi="Times New Roman" w:eastAsia="Times New Roman" w:cs="Times New Roman"/>
                <w:spacing w:val="-10"/>
                <w:sz w:val="21"/>
                <w:szCs w:val="21"/>
                <w:highlight w:val="none"/>
              </w:rPr>
              <w:t>3</w:t>
            </w:r>
            <w:r>
              <w:rPr>
                <w:spacing w:val="-10"/>
                <w:sz w:val="21"/>
                <w:szCs w:val="21"/>
                <w:highlight w:val="none"/>
              </w:rPr>
              <w:t>、</w:t>
            </w:r>
            <w:r>
              <w:rPr>
                <w:rFonts w:ascii="Times New Roman" w:hAnsi="Times New Roman" w:eastAsia="Times New Roman" w:cs="Times New Roman"/>
                <w:spacing w:val="-10"/>
                <w:sz w:val="21"/>
                <w:szCs w:val="21"/>
                <w:highlight w:val="none"/>
              </w:rPr>
              <w:t>4</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5</w:t>
            </w:r>
            <w:r>
              <w:rPr>
                <w:spacing w:val="-10"/>
                <w:sz w:val="21"/>
                <w:szCs w:val="21"/>
                <w:highlight w:val="none"/>
              </w:rPr>
              <w:t>、</w:t>
            </w:r>
            <w:r>
              <w:rPr>
                <w:rFonts w:ascii="Times New Roman" w:hAnsi="Times New Roman" w:eastAsia="Times New Roman" w:cs="Times New Roman"/>
                <w:spacing w:val="-10"/>
                <w:sz w:val="21"/>
                <w:szCs w:val="21"/>
                <w:highlight w:val="none"/>
              </w:rPr>
              <w:t>6</w:t>
            </w:r>
            <w:r>
              <w:rPr>
                <w:spacing w:val="-10"/>
                <w:sz w:val="21"/>
                <w:szCs w:val="21"/>
                <w:highlight w:val="none"/>
              </w:rPr>
              <w:t>、</w:t>
            </w:r>
            <w:r>
              <w:rPr>
                <w:rFonts w:ascii="Times New Roman" w:hAnsi="Times New Roman" w:eastAsia="Times New Roman" w:cs="Times New Roman"/>
                <w:spacing w:val="-10"/>
                <w:sz w:val="21"/>
                <w:szCs w:val="21"/>
                <w:highlight w:val="none"/>
              </w:rPr>
              <w:t>7</w:t>
            </w:r>
            <w:r>
              <w:rPr>
                <w:rFonts w:ascii="Times New Roman" w:hAnsi="Times New Roman" w:eastAsia="Times New Roman" w:cs="Times New Roman"/>
                <w:spacing w:val="-29"/>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8</w:t>
            </w:r>
            <w:r>
              <w:rPr>
                <w:spacing w:val="-10"/>
                <w:sz w:val="21"/>
                <w:szCs w:val="21"/>
                <w:highlight w:val="none"/>
              </w:rPr>
              <w:t>、</w:t>
            </w:r>
            <w:r>
              <w:rPr>
                <w:rFonts w:ascii="Times New Roman" w:hAnsi="Times New Roman" w:eastAsia="Times New Roman" w:cs="Times New Roman"/>
                <w:spacing w:val="-10"/>
                <w:sz w:val="21"/>
                <w:szCs w:val="21"/>
                <w:highlight w:val="none"/>
              </w:rPr>
              <w:t>9</w:t>
            </w:r>
            <w:r>
              <w:rPr>
                <w:spacing w:val="-3"/>
                <w:sz w:val="21"/>
                <w:szCs w:val="21"/>
                <w:highlight w:val="none"/>
              </w:rPr>
              <w:t>等</w:t>
            </w:r>
            <w:r>
              <w:rPr>
                <w:spacing w:val="-22"/>
                <w:sz w:val="21"/>
                <w:szCs w:val="21"/>
                <w:highlight w:val="none"/>
              </w:rPr>
              <w:t xml:space="preserve"> </w:t>
            </w:r>
            <w:r>
              <w:rPr>
                <w:rFonts w:ascii="Times New Roman" w:hAnsi="Times New Roman" w:eastAsia="Times New Roman" w:cs="Times New Roman"/>
                <w:spacing w:val="-3"/>
                <w:sz w:val="21"/>
                <w:szCs w:val="21"/>
                <w:highlight w:val="none"/>
              </w:rPr>
              <w:t xml:space="preserve">10 </w:t>
            </w:r>
            <w:r>
              <w:rPr>
                <w:spacing w:val="-3"/>
                <w:sz w:val="21"/>
                <w:szCs w:val="21"/>
                <w:highlight w:val="none"/>
              </w:rPr>
              <w:t>个系数中随机抽取。各标段的</w:t>
            </w:r>
            <w:r>
              <w:rPr>
                <w:spacing w:val="-60"/>
                <w:sz w:val="21"/>
                <w:szCs w:val="21"/>
                <w:highlight w:val="none"/>
              </w:rPr>
              <w:t xml:space="preserve"> </w:t>
            </w:r>
            <w:r>
              <w:rPr>
                <w:rFonts w:ascii="Times New Roman" w:hAnsi="Times New Roman" w:eastAsia="Times New Roman" w:cs="Times New Roman"/>
                <w:spacing w:val="-3"/>
                <w:sz w:val="21"/>
                <w:szCs w:val="21"/>
                <w:highlight w:val="none"/>
              </w:rPr>
              <w:t xml:space="preserve">K2 </w:t>
            </w:r>
            <w:r>
              <w:rPr>
                <w:spacing w:val="-3"/>
                <w:sz w:val="21"/>
                <w:szCs w:val="21"/>
                <w:highlight w:val="none"/>
              </w:rPr>
              <w:t>在开标现场从</w:t>
            </w:r>
            <w:r>
              <w:rPr>
                <w:rFonts w:ascii="Times New Roman" w:hAnsi="Times New Roman" w:eastAsia="Times New Roman" w:cs="Times New Roman"/>
                <w:spacing w:val="-5"/>
                <w:sz w:val="21"/>
                <w:szCs w:val="21"/>
                <w:highlight w:val="none"/>
              </w:rPr>
              <w:t>0</w:t>
            </w:r>
            <w:r>
              <w:rPr>
                <w:rFonts w:ascii="Times New Roman" w:hAnsi="Times New Roman" w:eastAsia="Times New Roman" w:cs="Times New Roman"/>
                <w:spacing w:val="-18"/>
                <w:sz w:val="21"/>
                <w:szCs w:val="21"/>
                <w:highlight w:val="none"/>
              </w:rPr>
              <w:t xml:space="preserve"> </w:t>
            </w:r>
            <w:r>
              <w:rPr>
                <w:spacing w:val="-5"/>
                <w:sz w:val="21"/>
                <w:szCs w:val="21"/>
                <w:highlight w:val="none"/>
              </w:rPr>
              <w:t>、</w:t>
            </w:r>
            <w:r>
              <w:rPr>
                <w:rFonts w:ascii="Times New Roman" w:hAnsi="Times New Roman" w:eastAsia="Times New Roman" w:cs="Times New Roman"/>
                <w:spacing w:val="-5"/>
                <w:sz w:val="21"/>
                <w:szCs w:val="21"/>
                <w:highlight w:val="none"/>
              </w:rPr>
              <w:t>0.5</w:t>
            </w:r>
            <w:r>
              <w:rPr>
                <w:rFonts w:ascii="Times New Roman" w:hAnsi="Times New Roman" w:eastAsia="Times New Roman" w:cs="Times New Roman"/>
                <w:spacing w:val="-30"/>
                <w:sz w:val="21"/>
                <w:szCs w:val="21"/>
                <w:highlight w:val="none"/>
              </w:rPr>
              <w:t xml:space="preserve"> </w:t>
            </w:r>
            <w:r>
              <w:rPr>
                <w:spacing w:val="-5"/>
                <w:sz w:val="21"/>
                <w:szCs w:val="21"/>
                <w:highlight w:val="none"/>
              </w:rPr>
              <w:t>、</w:t>
            </w:r>
            <w:r>
              <w:rPr>
                <w:rFonts w:ascii="Times New Roman" w:hAnsi="Times New Roman" w:eastAsia="Times New Roman" w:cs="Times New Roman"/>
                <w:spacing w:val="-5"/>
                <w:sz w:val="21"/>
                <w:szCs w:val="21"/>
                <w:highlight w:val="none"/>
              </w:rPr>
              <w:t xml:space="preserve">1 </w:t>
            </w:r>
            <w:r>
              <w:rPr>
                <w:spacing w:val="-5"/>
                <w:sz w:val="21"/>
                <w:szCs w:val="21"/>
                <w:highlight w:val="none"/>
              </w:rPr>
              <w:t>等</w:t>
            </w:r>
            <w:r>
              <w:rPr>
                <w:spacing w:val="-44"/>
                <w:sz w:val="21"/>
                <w:szCs w:val="21"/>
                <w:highlight w:val="none"/>
              </w:rPr>
              <w:t xml:space="preserve"> </w:t>
            </w:r>
            <w:r>
              <w:rPr>
                <w:rFonts w:ascii="Times New Roman" w:hAnsi="Times New Roman" w:eastAsia="Times New Roman" w:cs="Times New Roman"/>
                <w:spacing w:val="-5"/>
                <w:sz w:val="21"/>
                <w:szCs w:val="21"/>
                <w:highlight w:val="none"/>
              </w:rPr>
              <w:t xml:space="preserve">3 </w:t>
            </w:r>
            <w:r>
              <w:rPr>
                <w:spacing w:val="-5"/>
                <w:sz w:val="21"/>
                <w:szCs w:val="21"/>
                <w:highlight w:val="none"/>
              </w:rPr>
              <w:t>个系数中随机抽取。</w:t>
            </w:r>
          </w:p>
          <w:p w14:paraId="35A43C4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sz w:val="21"/>
                <w:szCs w:val="21"/>
                <w:highlight w:val="none"/>
              </w:rPr>
              <w:drawing>
                <wp:inline distT="0" distB="0" distL="0" distR="0">
                  <wp:extent cx="79375" cy="91440"/>
                  <wp:effectExtent l="0" t="0" r="1206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7"/>
                          <a:stretch>
                            <a:fillRect/>
                          </a:stretch>
                        </pic:blipFill>
                        <pic:spPr>
                          <a:xfrm>
                            <a:off x="0" y="0"/>
                            <a:ext cx="79743" cy="91611"/>
                          </a:xfrm>
                          <a:prstGeom prst="rect">
                            <a:avLst/>
                          </a:prstGeom>
                        </pic:spPr>
                      </pic:pic>
                    </a:graphicData>
                  </a:graphic>
                </wp:inline>
              </w:drawing>
            </w:r>
            <w:r>
              <w:rPr>
                <w:spacing w:val="-23"/>
                <w:sz w:val="21"/>
                <w:szCs w:val="21"/>
                <w:highlight w:val="none"/>
              </w:rPr>
              <w:t>、为下浮系数，各标段的</w:t>
            </w:r>
            <w:r>
              <w:rPr>
                <w:rFonts w:ascii="Times New Roman" w:hAnsi="Times New Roman" w:eastAsia="Times New Roman" w:cs="Times New Roman"/>
                <w:spacing w:val="-23"/>
                <w:sz w:val="21"/>
                <w:szCs w:val="21"/>
                <w:highlight w:val="none"/>
              </w:rPr>
              <w:t>Z</w:t>
            </w:r>
            <w:r>
              <w:rPr>
                <w:spacing w:val="-23"/>
                <w:sz w:val="21"/>
                <w:szCs w:val="21"/>
                <w:highlight w:val="none"/>
              </w:rPr>
              <w:t>在开标现场均从</w:t>
            </w:r>
            <w:r>
              <w:rPr>
                <w:rFonts w:ascii="Times New Roman" w:hAnsi="Times New Roman" w:eastAsia="Times New Roman" w:cs="Times New Roman"/>
                <w:spacing w:val="-23"/>
                <w:sz w:val="21"/>
                <w:szCs w:val="21"/>
                <w:highlight w:val="none"/>
              </w:rPr>
              <w:t>00%.1</w:t>
            </w:r>
            <w:r>
              <w:rPr>
                <w:spacing w:val="-23"/>
                <w:sz w:val="21"/>
                <w:szCs w:val="21"/>
                <w:highlight w:val="none"/>
              </w:rPr>
              <w:t>、</w:t>
            </w:r>
            <w:r>
              <w:rPr>
                <w:rFonts w:ascii="Times New Roman" w:hAnsi="Times New Roman" w:eastAsia="Times New Roman" w:cs="Times New Roman"/>
                <w:spacing w:val="-23"/>
                <w:sz w:val="21"/>
                <w:szCs w:val="21"/>
                <w:highlight w:val="none"/>
              </w:rPr>
              <w:t>%</w:t>
            </w:r>
            <w:r>
              <w:rPr>
                <w:spacing w:val="-23"/>
                <w:sz w:val="21"/>
                <w:szCs w:val="21"/>
                <w:highlight w:val="none"/>
              </w:rPr>
              <w:t>、</w:t>
            </w:r>
            <w:r>
              <w:rPr>
                <w:spacing w:val="5"/>
                <w:sz w:val="21"/>
                <w:szCs w:val="21"/>
                <w:highlight w:val="none"/>
              </w:rPr>
              <w:t xml:space="preserve"> </w:t>
            </w:r>
            <w:r>
              <w:rPr>
                <w:rFonts w:ascii="Times New Roman" w:hAnsi="Times New Roman" w:eastAsia="Times New Roman" w:cs="Times New Roman"/>
                <w:spacing w:val="-7"/>
                <w:sz w:val="21"/>
                <w:szCs w:val="21"/>
                <w:highlight w:val="none"/>
              </w:rPr>
              <w:t>0.2%</w:t>
            </w:r>
            <w:r>
              <w:rPr>
                <w:spacing w:val="-7"/>
                <w:sz w:val="21"/>
                <w:szCs w:val="21"/>
                <w:highlight w:val="none"/>
              </w:rPr>
              <w:t>、</w:t>
            </w:r>
            <w:r>
              <w:rPr>
                <w:rFonts w:ascii="Times New Roman" w:hAnsi="Times New Roman" w:eastAsia="Times New Roman" w:cs="Times New Roman"/>
                <w:spacing w:val="-7"/>
                <w:sz w:val="21"/>
                <w:szCs w:val="21"/>
                <w:highlight w:val="none"/>
              </w:rPr>
              <w:t>0.3%</w:t>
            </w:r>
            <w:r>
              <w:rPr>
                <w:spacing w:val="-7"/>
                <w:sz w:val="21"/>
                <w:szCs w:val="21"/>
                <w:highlight w:val="none"/>
              </w:rPr>
              <w:t>、</w:t>
            </w:r>
            <w:r>
              <w:rPr>
                <w:rFonts w:ascii="Times New Roman" w:hAnsi="Times New Roman" w:eastAsia="Times New Roman" w:cs="Times New Roman"/>
                <w:spacing w:val="-7"/>
                <w:sz w:val="21"/>
                <w:szCs w:val="21"/>
                <w:highlight w:val="none"/>
              </w:rPr>
              <w:t>0.4%</w:t>
            </w:r>
            <w:r>
              <w:rPr>
                <w:spacing w:val="-7"/>
                <w:sz w:val="21"/>
                <w:szCs w:val="21"/>
                <w:highlight w:val="none"/>
              </w:rPr>
              <w:t>、</w:t>
            </w:r>
            <w:r>
              <w:rPr>
                <w:rFonts w:ascii="Times New Roman" w:hAnsi="Times New Roman" w:eastAsia="Times New Roman" w:cs="Times New Roman"/>
                <w:spacing w:val="-7"/>
                <w:sz w:val="21"/>
                <w:szCs w:val="21"/>
                <w:highlight w:val="none"/>
              </w:rPr>
              <w:t>0.5%</w:t>
            </w:r>
            <w:r>
              <w:rPr>
                <w:spacing w:val="-7"/>
                <w:sz w:val="21"/>
                <w:szCs w:val="21"/>
                <w:highlight w:val="none"/>
              </w:rPr>
              <w:t>、</w:t>
            </w:r>
            <w:r>
              <w:rPr>
                <w:rFonts w:ascii="Times New Roman" w:hAnsi="Times New Roman" w:eastAsia="Times New Roman" w:cs="Times New Roman"/>
                <w:spacing w:val="-7"/>
                <w:sz w:val="21"/>
                <w:szCs w:val="21"/>
                <w:highlight w:val="none"/>
              </w:rPr>
              <w:t>0.6%</w:t>
            </w:r>
            <w:r>
              <w:rPr>
                <w:spacing w:val="-7"/>
                <w:sz w:val="21"/>
                <w:szCs w:val="21"/>
                <w:highlight w:val="none"/>
              </w:rPr>
              <w:t>、</w:t>
            </w:r>
            <w:r>
              <w:rPr>
                <w:rFonts w:ascii="Times New Roman" w:hAnsi="Times New Roman" w:eastAsia="Times New Roman" w:cs="Times New Roman"/>
                <w:spacing w:val="-7"/>
                <w:sz w:val="21"/>
                <w:szCs w:val="21"/>
                <w:highlight w:val="none"/>
              </w:rPr>
              <w:t>0.7%</w:t>
            </w:r>
            <w:r>
              <w:rPr>
                <w:spacing w:val="-7"/>
                <w:sz w:val="21"/>
                <w:szCs w:val="21"/>
                <w:highlight w:val="none"/>
              </w:rPr>
              <w:t>、</w:t>
            </w:r>
            <w:r>
              <w:rPr>
                <w:rFonts w:ascii="Times New Roman" w:hAnsi="Times New Roman" w:eastAsia="Times New Roman" w:cs="Times New Roman"/>
                <w:spacing w:val="-7"/>
                <w:sz w:val="21"/>
                <w:szCs w:val="21"/>
                <w:highlight w:val="none"/>
              </w:rPr>
              <w:t xml:space="preserve">0.8% </w:t>
            </w:r>
            <w:r>
              <w:rPr>
                <w:spacing w:val="-7"/>
                <w:sz w:val="21"/>
                <w:szCs w:val="21"/>
                <w:highlight w:val="none"/>
              </w:rPr>
              <w:t>、</w:t>
            </w:r>
            <w:r>
              <w:rPr>
                <w:rFonts w:ascii="Times New Roman" w:hAnsi="Times New Roman" w:eastAsia="Times New Roman" w:cs="Times New Roman"/>
                <w:spacing w:val="-7"/>
                <w:sz w:val="21"/>
                <w:szCs w:val="21"/>
                <w:highlight w:val="none"/>
              </w:rPr>
              <w:t>0.9%</w:t>
            </w:r>
            <w:r>
              <w:rPr>
                <w:rFonts w:ascii="Times New Roman" w:hAnsi="Times New Roman" w:eastAsia="Times New Roman" w:cs="Times New Roman"/>
                <w:spacing w:val="-22"/>
                <w:sz w:val="21"/>
                <w:szCs w:val="21"/>
                <w:highlight w:val="none"/>
              </w:rPr>
              <w:t xml:space="preserve"> </w:t>
            </w:r>
            <w:r>
              <w:rPr>
                <w:spacing w:val="-7"/>
                <w:sz w:val="21"/>
                <w:szCs w:val="21"/>
                <w:highlight w:val="none"/>
              </w:rPr>
              <w:t>、</w:t>
            </w:r>
            <w:r>
              <w:rPr>
                <w:sz w:val="21"/>
                <w:szCs w:val="21"/>
                <w:highlight w:val="none"/>
              </w:rPr>
              <w:t xml:space="preserve"> </w:t>
            </w:r>
            <w:r>
              <w:rPr>
                <w:rFonts w:ascii="Times New Roman" w:hAnsi="Times New Roman" w:eastAsia="Times New Roman" w:cs="Times New Roman"/>
                <w:spacing w:val="-1"/>
                <w:sz w:val="21"/>
                <w:szCs w:val="21"/>
                <w:highlight w:val="none"/>
              </w:rPr>
              <w:t>1.0%</w:t>
            </w:r>
            <w:r>
              <w:rPr>
                <w:rFonts w:ascii="Times New Roman" w:hAnsi="Times New Roman" w:eastAsia="Times New Roman" w:cs="Times New Roman"/>
                <w:spacing w:val="14"/>
                <w:w w:val="101"/>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1.1%</w:t>
            </w:r>
            <w:r>
              <w:rPr>
                <w:rFonts w:ascii="Times New Roman" w:hAnsi="Times New Roman" w:eastAsia="Times New Roman" w:cs="Times New Roman"/>
                <w:spacing w:val="14"/>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1.2%</w:t>
            </w:r>
            <w:r>
              <w:rPr>
                <w:rFonts w:ascii="Times New Roman" w:hAnsi="Times New Roman" w:eastAsia="Times New Roman" w:cs="Times New Roman"/>
                <w:spacing w:val="14"/>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1.3%</w:t>
            </w:r>
            <w:r>
              <w:rPr>
                <w:rFonts w:ascii="Times New Roman" w:hAnsi="Times New Roman" w:eastAsia="Times New Roman" w:cs="Times New Roman"/>
                <w:spacing w:val="13"/>
                <w:w w:val="101"/>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1.4</w:t>
            </w:r>
            <w:r>
              <w:rPr>
                <w:rFonts w:ascii="Times New Roman" w:hAnsi="Times New Roman" w:eastAsia="Times New Roman" w:cs="Times New Roman"/>
                <w:spacing w:val="-2"/>
                <w:sz w:val="21"/>
                <w:szCs w:val="21"/>
                <w:highlight w:val="none"/>
              </w:rPr>
              <w:t>%</w:t>
            </w:r>
            <w:r>
              <w:rPr>
                <w:rFonts w:ascii="Times New Roman" w:hAnsi="Times New Roman" w:eastAsia="Times New Roman" w:cs="Times New Roman"/>
                <w:spacing w:val="14"/>
                <w:sz w:val="21"/>
                <w:szCs w:val="21"/>
                <w:highlight w:val="none"/>
              </w:rPr>
              <w:t xml:space="preserve"> </w:t>
            </w:r>
            <w:r>
              <w:rPr>
                <w:spacing w:val="-2"/>
                <w:sz w:val="21"/>
                <w:szCs w:val="21"/>
                <w:highlight w:val="none"/>
              </w:rPr>
              <w:t>、</w:t>
            </w:r>
            <w:r>
              <w:rPr>
                <w:rFonts w:ascii="Times New Roman" w:hAnsi="Times New Roman" w:eastAsia="Times New Roman" w:cs="Times New Roman"/>
                <w:spacing w:val="-2"/>
                <w:sz w:val="21"/>
                <w:szCs w:val="21"/>
                <w:highlight w:val="none"/>
              </w:rPr>
              <w:t>1.5%</w:t>
            </w:r>
            <w:r>
              <w:rPr>
                <w:rFonts w:ascii="Times New Roman" w:hAnsi="Times New Roman" w:eastAsia="Times New Roman" w:cs="Times New Roman"/>
                <w:spacing w:val="-13"/>
                <w:sz w:val="21"/>
                <w:szCs w:val="21"/>
                <w:highlight w:val="none"/>
              </w:rPr>
              <w:t xml:space="preserve"> </w:t>
            </w:r>
            <w:r>
              <w:rPr>
                <w:spacing w:val="-2"/>
                <w:sz w:val="21"/>
                <w:szCs w:val="21"/>
                <w:highlight w:val="none"/>
              </w:rPr>
              <w:t>、</w:t>
            </w:r>
            <w:r>
              <w:rPr>
                <w:rFonts w:ascii="Times New Roman" w:hAnsi="Times New Roman" w:eastAsia="Times New Roman" w:cs="Times New Roman"/>
                <w:spacing w:val="-2"/>
                <w:sz w:val="21"/>
                <w:szCs w:val="21"/>
                <w:highlight w:val="none"/>
              </w:rPr>
              <w:t>1.6%</w:t>
            </w:r>
            <w:r>
              <w:rPr>
                <w:rFonts w:ascii="Times New Roman" w:hAnsi="Times New Roman" w:eastAsia="Times New Roman" w:cs="Times New Roman"/>
                <w:spacing w:val="-13"/>
                <w:sz w:val="21"/>
                <w:szCs w:val="21"/>
                <w:highlight w:val="none"/>
              </w:rPr>
              <w:t xml:space="preserve"> </w:t>
            </w:r>
            <w:r>
              <w:rPr>
                <w:spacing w:val="-2"/>
                <w:sz w:val="21"/>
                <w:szCs w:val="21"/>
                <w:highlight w:val="none"/>
              </w:rPr>
              <w:t>、</w:t>
            </w:r>
            <w:r>
              <w:rPr>
                <w:sz w:val="21"/>
                <w:szCs w:val="21"/>
                <w:highlight w:val="none"/>
              </w:rPr>
              <w:t xml:space="preserve"> </w:t>
            </w:r>
            <w:r>
              <w:rPr>
                <w:rFonts w:ascii="Times New Roman" w:hAnsi="Times New Roman" w:eastAsia="Times New Roman" w:cs="Times New Roman"/>
                <w:spacing w:val="-4"/>
                <w:sz w:val="21"/>
                <w:szCs w:val="21"/>
                <w:highlight w:val="none"/>
              </w:rPr>
              <w:t>1.7%</w:t>
            </w:r>
            <w:r>
              <w:rPr>
                <w:rFonts w:ascii="Times New Roman" w:hAnsi="Times New Roman" w:eastAsia="Times New Roman" w:cs="Times New Roman"/>
                <w:spacing w:val="-17"/>
                <w:sz w:val="21"/>
                <w:szCs w:val="21"/>
                <w:highlight w:val="none"/>
              </w:rPr>
              <w:t xml:space="preserve"> </w:t>
            </w:r>
            <w:r>
              <w:rPr>
                <w:spacing w:val="-4"/>
                <w:sz w:val="21"/>
                <w:szCs w:val="21"/>
                <w:highlight w:val="none"/>
              </w:rPr>
              <w:t>、</w:t>
            </w:r>
            <w:r>
              <w:rPr>
                <w:rFonts w:ascii="Times New Roman" w:hAnsi="Times New Roman" w:eastAsia="Times New Roman" w:cs="Times New Roman"/>
                <w:spacing w:val="-4"/>
                <w:sz w:val="21"/>
                <w:szCs w:val="21"/>
                <w:highlight w:val="none"/>
              </w:rPr>
              <w:t>1.8%</w:t>
            </w:r>
            <w:r>
              <w:rPr>
                <w:rFonts w:ascii="Times New Roman" w:hAnsi="Times New Roman" w:eastAsia="Times New Roman" w:cs="Times New Roman"/>
                <w:spacing w:val="-30"/>
                <w:sz w:val="21"/>
                <w:szCs w:val="21"/>
                <w:highlight w:val="none"/>
              </w:rPr>
              <w:t xml:space="preserve"> </w:t>
            </w:r>
            <w:r>
              <w:rPr>
                <w:spacing w:val="-4"/>
                <w:sz w:val="21"/>
                <w:szCs w:val="21"/>
                <w:highlight w:val="none"/>
              </w:rPr>
              <w:t>、</w:t>
            </w:r>
            <w:r>
              <w:rPr>
                <w:rFonts w:ascii="Times New Roman" w:hAnsi="Times New Roman" w:eastAsia="Times New Roman" w:cs="Times New Roman"/>
                <w:spacing w:val="-4"/>
                <w:sz w:val="21"/>
                <w:szCs w:val="21"/>
                <w:highlight w:val="none"/>
              </w:rPr>
              <w:t>1.9%</w:t>
            </w:r>
            <w:r>
              <w:rPr>
                <w:rFonts w:ascii="Times New Roman" w:hAnsi="Times New Roman" w:eastAsia="Times New Roman" w:cs="Times New Roman"/>
                <w:spacing w:val="-29"/>
                <w:sz w:val="21"/>
                <w:szCs w:val="21"/>
                <w:highlight w:val="none"/>
              </w:rPr>
              <w:t xml:space="preserve"> </w:t>
            </w:r>
            <w:r>
              <w:rPr>
                <w:spacing w:val="-4"/>
                <w:sz w:val="21"/>
                <w:szCs w:val="21"/>
                <w:highlight w:val="none"/>
              </w:rPr>
              <w:t>、</w:t>
            </w:r>
            <w:r>
              <w:rPr>
                <w:rFonts w:ascii="Times New Roman" w:hAnsi="Times New Roman" w:eastAsia="Times New Roman" w:cs="Times New Roman"/>
                <w:spacing w:val="-4"/>
                <w:sz w:val="21"/>
                <w:szCs w:val="21"/>
                <w:highlight w:val="none"/>
              </w:rPr>
              <w:t>2%</w:t>
            </w:r>
            <w:r>
              <w:rPr>
                <w:spacing w:val="-4"/>
                <w:sz w:val="21"/>
                <w:szCs w:val="21"/>
                <w:highlight w:val="none"/>
              </w:rPr>
              <w:t>等</w:t>
            </w:r>
            <w:r>
              <w:rPr>
                <w:spacing w:val="-48"/>
                <w:sz w:val="21"/>
                <w:szCs w:val="21"/>
                <w:highlight w:val="none"/>
              </w:rPr>
              <w:t xml:space="preserve"> </w:t>
            </w:r>
            <w:r>
              <w:rPr>
                <w:rFonts w:ascii="Times New Roman" w:hAnsi="Times New Roman" w:eastAsia="Times New Roman" w:cs="Times New Roman"/>
                <w:spacing w:val="-4"/>
                <w:sz w:val="21"/>
                <w:szCs w:val="21"/>
                <w:highlight w:val="none"/>
              </w:rPr>
              <w:t xml:space="preserve">21 </w:t>
            </w:r>
            <w:r>
              <w:rPr>
                <w:spacing w:val="-4"/>
                <w:sz w:val="21"/>
                <w:szCs w:val="21"/>
                <w:highlight w:val="none"/>
              </w:rPr>
              <w:t>个系数中随机抽取。</w:t>
            </w: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3733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0057A5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11328F82">
            <w:pPr>
              <w:keepNext w:val="0"/>
              <w:keepLines w:val="0"/>
              <w:widowControl/>
              <w:suppressLineNumbers w:val="0"/>
              <w:jc w:val="left"/>
              <w:rPr>
                <w:highlight w:val="none"/>
              </w:rPr>
            </w:pPr>
            <w:r>
              <w:rPr>
                <w:rFonts w:ascii="Calibri" w:hAnsi="Calibri" w:eastAsia="宋体" w:cs="Calibri"/>
                <w:color w:val="0000FF"/>
                <w:kern w:val="0"/>
                <w:sz w:val="21"/>
                <w:szCs w:val="21"/>
                <w:highlight w:val="none"/>
                <w:lang w:val="en-US" w:eastAsia="zh-CN" w:bidi="ar"/>
              </w:rPr>
              <w:t>1.</w:t>
            </w:r>
            <w:r>
              <w:rPr>
                <w:rFonts w:hint="eastAsia" w:ascii="宋体" w:hAnsi="宋体" w:eastAsia="宋体" w:cs="宋体"/>
                <w:color w:val="0000FF"/>
                <w:kern w:val="0"/>
                <w:sz w:val="21"/>
                <w:szCs w:val="21"/>
                <w:highlight w:val="none"/>
                <w:lang w:val="en-US" w:eastAsia="zh-CN" w:bidi="ar"/>
              </w:rPr>
              <w:t xml:space="preserve">评标办法 </w:t>
            </w:r>
          </w:p>
          <w:p w14:paraId="23A23B0F">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本条细化为： </w:t>
            </w:r>
          </w:p>
          <w:p w14:paraId="518E8531">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 </w:t>
            </w:r>
            <w:r>
              <w:rPr>
                <w:rFonts w:hint="eastAsia" w:ascii="宋体" w:hAnsi="宋体" w:eastAsia="宋体" w:cs="宋体"/>
                <w:color w:val="0000FF"/>
                <w:kern w:val="0"/>
                <w:sz w:val="21"/>
                <w:szCs w:val="21"/>
                <w:highlight w:val="none"/>
                <w:lang w:val="en-US" w:eastAsia="zh-CN" w:bidi="ar"/>
              </w:rPr>
              <w:t xml:space="preserve">采用双信封形式合理低价法。 </w:t>
            </w:r>
          </w:p>
          <w:p w14:paraId="40962906">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1.1.1 </w:t>
            </w:r>
            <w:r>
              <w:rPr>
                <w:rFonts w:hint="eastAsia" w:ascii="宋体" w:hAnsi="宋体" w:eastAsia="宋体" w:cs="宋体"/>
                <w:color w:val="0000FF"/>
                <w:kern w:val="0"/>
                <w:sz w:val="21"/>
                <w:szCs w:val="21"/>
                <w:highlight w:val="none"/>
                <w:lang w:val="en-US" w:eastAsia="zh-CN" w:bidi="ar"/>
              </w:rPr>
              <w:t xml:space="preserve">评标委员会首先对第一个信封（商务及技术文件）进行初步评审（形式评审与响应 </w:t>
            </w:r>
          </w:p>
          <w:p w14:paraId="7A3E1EF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性评审、资格评审），通过第一个信封初步评审的投标人，进入第二个信封（报价文件） </w:t>
            </w:r>
          </w:p>
          <w:p w14:paraId="1E23CEE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开标。第二个信封在监督机关的监督下进行开标，未通过第一个信封初步评审的投标人的 </w:t>
            </w:r>
          </w:p>
          <w:p w14:paraId="0D2FF0C7">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投标文件将被否决投标，其第二个信封原封退回，不参与第二个信封的开标。 </w:t>
            </w:r>
          </w:p>
          <w:p w14:paraId="76C110DB">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1.1.2 </w:t>
            </w:r>
            <w:r>
              <w:rPr>
                <w:rFonts w:hint="eastAsia" w:ascii="宋体" w:hAnsi="宋体" w:eastAsia="宋体" w:cs="宋体"/>
                <w:color w:val="0000FF"/>
                <w:kern w:val="0"/>
                <w:sz w:val="21"/>
                <w:szCs w:val="21"/>
                <w:highlight w:val="none"/>
                <w:lang w:val="en-US" w:eastAsia="zh-CN" w:bidi="ar"/>
              </w:rPr>
              <w:t xml:space="preserve">评标委员会对投标文件第二个信封进行形式和响应性评审，未通过第二个信封形式 </w:t>
            </w:r>
          </w:p>
          <w:p w14:paraId="55FBEC43">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和响应性评审的投标文件将被否决投标：若所有投标文件均未通过第二个信封的形式和响 </w:t>
            </w:r>
          </w:p>
          <w:p w14:paraId="41EEADB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应性评审，招标人将重新招标。评标委员会对通过第二个信封形式和响应性评审的投标文 </w:t>
            </w:r>
          </w:p>
          <w:p w14:paraId="7B470F2D">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件，按照本章第 </w:t>
            </w:r>
            <w:r>
              <w:rPr>
                <w:rFonts w:hint="default" w:ascii="Calibri" w:hAnsi="Calibri" w:eastAsia="宋体" w:cs="Calibri"/>
                <w:color w:val="0000FF"/>
                <w:kern w:val="0"/>
                <w:sz w:val="21"/>
                <w:szCs w:val="21"/>
                <w:highlight w:val="none"/>
                <w:lang w:val="en-US" w:eastAsia="zh-CN" w:bidi="ar"/>
              </w:rPr>
              <w:t xml:space="preserve">2.2 </w:t>
            </w:r>
            <w:r>
              <w:rPr>
                <w:rFonts w:hint="eastAsia" w:ascii="宋体" w:hAnsi="宋体" w:eastAsia="宋体" w:cs="宋体"/>
                <w:color w:val="0000FF"/>
                <w:kern w:val="0"/>
                <w:sz w:val="21"/>
                <w:szCs w:val="21"/>
                <w:highlight w:val="none"/>
                <w:lang w:val="en-US" w:eastAsia="zh-CN" w:bidi="ar"/>
              </w:rPr>
              <w:t xml:space="preserve">款规定的评分标准进行评分，然后按评标价得分由高到低顺序推荐 </w:t>
            </w:r>
          </w:p>
          <w:p w14:paraId="1FD99580">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中标候选人，但投标报价低于其成本的除外。 </w:t>
            </w:r>
          </w:p>
          <w:p w14:paraId="0D99CCB9">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1.1.3 </w:t>
            </w:r>
            <w:r>
              <w:rPr>
                <w:rFonts w:hint="eastAsia" w:ascii="宋体" w:hAnsi="宋体" w:eastAsia="宋体" w:cs="宋体"/>
                <w:color w:val="0000FF"/>
                <w:kern w:val="0"/>
                <w:sz w:val="21"/>
                <w:szCs w:val="21"/>
                <w:highlight w:val="none"/>
                <w:lang w:val="en-US" w:eastAsia="zh-CN" w:bidi="ar"/>
              </w:rPr>
              <w:t xml:space="preserve">综合评分相等时，评标委员会依次按照以下优先顺序推荐中标候选人或确定中标 </w:t>
            </w:r>
          </w:p>
          <w:p w14:paraId="31F15352">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人： </w:t>
            </w:r>
          </w:p>
          <w:p w14:paraId="5906750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w:t>
            </w:r>
            <w:r>
              <w:rPr>
                <w:rFonts w:hint="default" w:ascii="Calibri" w:hAnsi="Calibri" w:eastAsia="宋体" w:cs="Calibri"/>
                <w:color w:val="0000FF"/>
                <w:kern w:val="0"/>
                <w:sz w:val="21"/>
                <w:szCs w:val="21"/>
                <w:highlight w:val="none"/>
                <w:lang w:val="en-US" w:eastAsia="zh-CN" w:bidi="ar"/>
              </w:rPr>
              <w:t>1</w:t>
            </w:r>
            <w:r>
              <w:rPr>
                <w:rFonts w:hint="eastAsia" w:ascii="宋体" w:hAnsi="宋体" w:eastAsia="宋体" w:cs="宋体"/>
                <w:color w:val="0000FF"/>
                <w:kern w:val="0"/>
                <w:sz w:val="21"/>
                <w:szCs w:val="21"/>
                <w:highlight w:val="none"/>
                <w:lang w:val="en-US" w:eastAsia="zh-CN" w:bidi="ar"/>
              </w:rPr>
              <w:t xml:space="preserve">）以评标价较低者优先； </w:t>
            </w:r>
          </w:p>
          <w:p w14:paraId="63158235">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w:t>
            </w:r>
            <w:r>
              <w:rPr>
                <w:rFonts w:hint="default" w:ascii="Calibri" w:hAnsi="Calibri" w:eastAsia="宋体" w:cs="Calibri"/>
                <w:color w:val="0000FF"/>
                <w:kern w:val="0"/>
                <w:sz w:val="21"/>
                <w:szCs w:val="21"/>
                <w:highlight w:val="none"/>
                <w:lang w:val="en-US" w:eastAsia="zh-CN" w:bidi="ar"/>
              </w:rPr>
              <w:t>2</w:t>
            </w:r>
            <w:r>
              <w:rPr>
                <w:rFonts w:hint="eastAsia" w:ascii="宋体" w:hAnsi="宋体" w:eastAsia="宋体" w:cs="宋体"/>
                <w:color w:val="0000FF"/>
                <w:kern w:val="0"/>
                <w:sz w:val="21"/>
                <w:szCs w:val="21"/>
                <w:highlight w:val="none"/>
                <w:lang w:val="en-US" w:eastAsia="zh-CN" w:bidi="ar"/>
              </w:rPr>
              <w:t xml:space="preserve">）被招标项目所在地省级交通运输主管部门评为较高信用等级的投标人优先； </w:t>
            </w:r>
          </w:p>
          <w:p w14:paraId="44013CF7">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当两家及以上投标人的最终得分相等且投标价也相等时，则先对各投标人的工程量清单进 </w:t>
            </w:r>
          </w:p>
          <w:p w14:paraId="5466FCD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行复核，若各投标人工程量清单子目单价也相同时，视为串标，均以废标处理。若各投标</w:t>
            </w:r>
          </w:p>
          <w:p w14:paraId="3627162B">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人工程量清单子目单价不同时，由评标委员会根据施工组织设计的编制情况投票确定其推 </w:t>
            </w:r>
          </w:p>
          <w:p w14:paraId="5741226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荐顺序。 </w:t>
            </w:r>
          </w:p>
          <w:p w14:paraId="7EAE5F73">
            <w:pPr>
              <w:keepNext w:val="0"/>
              <w:keepLines w:val="0"/>
              <w:widowControl/>
              <w:suppressLineNumbers w:val="0"/>
              <w:jc w:val="left"/>
              <w:rPr>
                <w:highlight w:val="none"/>
              </w:rPr>
            </w:pPr>
            <w:r>
              <w:rPr>
                <w:rFonts w:ascii="Calibri" w:hAnsi="Calibri" w:eastAsia="宋体" w:cs="Calibri"/>
                <w:color w:val="0000FF"/>
                <w:kern w:val="0"/>
                <w:sz w:val="21"/>
                <w:szCs w:val="21"/>
                <w:highlight w:val="none"/>
                <w:lang w:val="en-US" w:eastAsia="zh-CN" w:bidi="ar"/>
              </w:rPr>
              <w:t xml:space="preserve">1.1.4 </w:t>
            </w:r>
            <w:r>
              <w:rPr>
                <w:rFonts w:hint="eastAsia" w:ascii="宋体" w:hAnsi="宋体" w:eastAsia="宋体" w:cs="宋体"/>
                <w:color w:val="0000FF"/>
                <w:kern w:val="0"/>
                <w:sz w:val="21"/>
                <w:szCs w:val="21"/>
                <w:highlight w:val="none"/>
                <w:lang w:val="en-US" w:eastAsia="zh-CN" w:bidi="ar"/>
              </w:rPr>
              <w:t xml:space="preserve">通过第一个信封评审且参与第二个信封开标的投标人在 </w:t>
            </w:r>
            <w:r>
              <w:rPr>
                <w:rFonts w:hint="default" w:ascii="Calibri" w:hAnsi="Calibri" w:eastAsia="宋体" w:cs="Calibri"/>
                <w:color w:val="0000FF"/>
                <w:kern w:val="0"/>
                <w:sz w:val="21"/>
                <w:szCs w:val="21"/>
                <w:highlight w:val="none"/>
                <w:lang w:val="en-US" w:eastAsia="zh-CN" w:bidi="ar"/>
              </w:rPr>
              <w:t xml:space="preserve">3 </w:t>
            </w:r>
            <w:r>
              <w:rPr>
                <w:rFonts w:hint="eastAsia" w:ascii="宋体" w:hAnsi="宋体" w:eastAsia="宋体" w:cs="宋体"/>
                <w:color w:val="0000FF"/>
                <w:kern w:val="0"/>
                <w:sz w:val="21"/>
                <w:szCs w:val="21"/>
                <w:highlight w:val="none"/>
                <w:lang w:val="en-US" w:eastAsia="zh-CN" w:bidi="ar"/>
              </w:rPr>
              <w:t xml:space="preserve">个及以上的，招标人将按 </w:t>
            </w:r>
          </w:p>
          <w:p w14:paraId="239B1EA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规定的程序进行第二个信封开标：在对第二个信封进行评审后，有效投标不足 </w:t>
            </w:r>
            <w:r>
              <w:rPr>
                <w:rFonts w:hint="default" w:ascii="Calibri" w:hAnsi="Calibri" w:eastAsia="宋体" w:cs="Calibri"/>
                <w:color w:val="0000FF"/>
                <w:kern w:val="0"/>
                <w:sz w:val="21"/>
                <w:szCs w:val="21"/>
                <w:highlight w:val="none"/>
                <w:lang w:val="en-US" w:eastAsia="zh-CN" w:bidi="ar"/>
              </w:rPr>
              <w:t xml:space="preserve">3 </w:t>
            </w:r>
            <w:r>
              <w:rPr>
                <w:rFonts w:hint="eastAsia" w:ascii="宋体" w:hAnsi="宋体" w:eastAsia="宋体" w:cs="宋体"/>
                <w:color w:val="0000FF"/>
                <w:kern w:val="0"/>
                <w:sz w:val="21"/>
                <w:szCs w:val="21"/>
                <w:highlight w:val="none"/>
                <w:lang w:val="en-US" w:eastAsia="zh-CN" w:bidi="ar"/>
              </w:rPr>
              <w:t xml:space="preserve">个使得投 </w:t>
            </w:r>
          </w:p>
          <w:p w14:paraId="2E509647">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标明显缺乏竞争的，评标委员会可以否决全部投标。评标委员会未否决全部投标的，应当 </w:t>
            </w:r>
          </w:p>
          <w:p w14:paraId="6FF2A5A0">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在评标报告中阐明理由并推荐中标候选人。 </w:t>
            </w:r>
          </w:p>
          <w:p w14:paraId="72650DDD">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1.1.5 </w:t>
            </w:r>
            <w:r>
              <w:rPr>
                <w:rFonts w:hint="eastAsia" w:ascii="宋体" w:hAnsi="宋体" w:eastAsia="宋体" w:cs="宋体"/>
                <w:color w:val="0000FF"/>
                <w:kern w:val="0"/>
                <w:sz w:val="21"/>
                <w:szCs w:val="21"/>
                <w:highlight w:val="none"/>
                <w:lang w:val="en-US" w:eastAsia="zh-CN" w:bidi="ar"/>
              </w:rPr>
              <w:t xml:space="preserve">通过第一个信封评审且参与第二个信封开标的投标人少于 </w:t>
            </w:r>
            <w:r>
              <w:rPr>
                <w:rFonts w:hint="default" w:ascii="Calibri" w:hAnsi="Calibri" w:eastAsia="宋体" w:cs="Calibri"/>
                <w:color w:val="0000FF"/>
                <w:kern w:val="0"/>
                <w:sz w:val="21"/>
                <w:szCs w:val="21"/>
                <w:highlight w:val="none"/>
                <w:lang w:val="en-US" w:eastAsia="zh-CN" w:bidi="ar"/>
              </w:rPr>
              <w:t xml:space="preserve">3 </w:t>
            </w:r>
            <w:r>
              <w:rPr>
                <w:rFonts w:hint="eastAsia" w:ascii="宋体" w:hAnsi="宋体" w:eastAsia="宋体" w:cs="宋体"/>
                <w:color w:val="0000FF"/>
                <w:kern w:val="0"/>
                <w:sz w:val="21"/>
                <w:szCs w:val="21"/>
                <w:highlight w:val="none"/>
                <w:lang w:val="en-US" w:eastAsia="zh-CN" w:bidi="ar"/>
              </w:rPr>
              <w:t xml:space="preserve">个的，评标委员会可以 </w:t>
            </w:r>
          </w:p>
          <w:p w14:paraId="3A92A28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否决全部投标：未否决全部投标的，评标委员会应当在评标报告中阐明理由，招标人将按 </w:t>
            </w:r>
          </w:p>
          <w:p w14:paraId="2D1EB4E8">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规定的程序进行第二个信封开标，但评标委员会在进行第二个信封评审时仍有权否决全部 </w:t>
            </w:r>
          </w:p>
          <w:p w14:paraId="705DA0F0">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投标：评标委员会未在第二个信封评审时否决全部投标的，应当在评标报告中阐明理由并 </w:t>
            </w:r>
          </w:p>
          <w:p w14:paraId="75A7E738">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推荐中标候选人。 </w:t>
            </w:r>
          </w:p>
          <w:p w14:paraId="2030B1B4">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2.</w:t>
            </w:r>
            <w:r>
              <w:rPr>
                <w:rFonts w:hint="eastAsia" w:ascii="宋体" w:hAnsi="宋体" w:eastAsia="宋体" w:cs="宋体"/>
                <w:color w:val="0000FF"/>
                <w:kern w:val="0"/>
                <w:sz w:val="21"/>
                <w:szCs w:val="21"/>
                <w:highlight w:val="none"/>
                <w:lang w:val="en-US" w:eastAsia="zh-CN" w:bidi="ar"/>
              </w:rPr>
              <w:t xml:space="preserve">评标结果 </w:t>
            </w:r>
          </w:p>
          <w:p w14:paraId="0E44F353">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2.1 </w:t>
            </w:r>
            <w:r>
              <w:rPr>
                <w:rFonts w:hint="eastAsia" w:ascii="宋体" w:hAnsi="宋体" w:eastAsia="宋体" w:cs="宋体"/>
                <w:color w:val="0000FF"/>
                <w:kern w:val="0"/>
                <w:sz w:val="21"/>
                <w:szCs w:val="21"/>
                <w:highlight w:val="none"/>
                <w:lang w:val="en-US" w:eastAsia="zh-CN" w:bidi="ar"/>
              </w:rPr>
              <w:t xml:space="preserve">评标委员会按照评标方法的规定推荐中标候选人。 </w:t>
            </w:r>
          </w:p>
          <w:p w14:paraId="0B2A4AF1">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2.2 </w:t>
            </w:r>
            <w:r>
              <w:rPr>
                <w:rFonts w:hint="eastAsia" w:ascii="宋体" w:hAnsi="宋体" w:eastAsia="宋体" w:cs="宋体"/>
                <w:color w:val="0000FF"/>
                <w:kern w:val="0"/>
                <w:sz w:val="21"/>
                <w:szCs w:val="21"/>
                <w:highlight w:val="none"/>
                <w:lang w:val="en-US" w:eastAsia="zh-CN" w:bidi="ar"/>
              </w:rPr>
              <w:t xml:space="preserve">评标委员会完成评标后，应当向招标人提交书面评标报告。评标报告由评标委员会全 </w:t>
            </w:r>
          </w:p>
          <w:p w14:paraId="73F55F2C">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体成员签字。对评标结论持有异议的评标委员会成员可以书面方式阐述其不同意见和理 </w:t>
            </w:r>
          </w:p>
          <w:p w14:paraId="3B9FBA2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由。评标委员会成员拒绝在评标报告上签字且不陈述其不同意见和理由的，视为同意评标 </w:t>
            </w:r>
          </w:p>
          <w:p w14:paraId="4E13903B">
            <w:pPr>
              <w:pageBreakBefore w:val="0"/>
              <w:widowControl/>
              <w:kinsoku/>
              <w:wordWrap/>
              <w:bidi w:val="0"/>
              <w:spacing w:line="240" w:lineRule="auto"/>
              <w:jc w:val="left"/>
              <w:rPr>
                <w:rFonts w:hint="default" w:ascii="Times New Roman" w:hAnsi="Times New Roman" w:cs="Times New Roman"/>
                <w:szCs w:val="21"/>
                <w:highlight w:val="none"/>
              </w:rPr>
            </w:pPr>
            <w:r>
              <w:rPr>
                <w:rFonts w:hint="eastAsia" w:ascii="宋体" w:hAnsi="宋体" w:eastAsia="宋体" w:cs="宋体"/>
                <w:color w:val="0000FF"/>
                <w:kern w:val="0"/>
                <w:sz w:val="21"/>
                <w:szCs w:val="21"/>
                <w:highlight w:val="none"/>
                <w:lang w:val="en-US" w:eastAsia="zh-CN" w:bidi="ar"/>
              </w:rPr>
              <w:t>结论。</w:t>
            </w:r>
          </w:p>
          <w:p w14:paraId="3A3A6A40">
            <w:pPr>
              <w:rPr>
                <w:rFonts w:hint="default"/>
                <w:highlight w:val="none"/>
              </w:rPr>
            </w:pPr>
          </w:p>
        </w:tc>
      </w:tr>
    </w:tbl>
    <w:p w14:paraId="776DA3CB">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76" w:name="_Toc12557"/>
      <w:bookmarkStart w:id="277" w:name="_Toc31370"/>
      <w:bookmarkStart w:id="278" w:name="_Toc234832933"/>
    </w:p>
    <w:p w14:paraId="776AB918">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1. 评标方法</w:t>
      </w:r>
      <w:bookmarkEnd w:id="276"/>
      <w:bookmarkEnd w:id="277"/>
      <w:bookmarkEnd w:id="278"/>
    </w:p>
    <w:p w14:paraId="75CF1809">
      <w:pPr>
        <w:pageBreakBefore w:val="0"/>
        <w:kinsoku/>
        <w:wordWrap w:val="0"/>
        <w:bidi w:val="0"/>
        <w:spacing w:line="400" w:lineRule="atLeast"/>
        <w:ind w:firstLine="480" w:firstLineChars="200"/>
        <w:rPr>
          <w:rFonts w:hint="default" w:ascii="Times New Roman" w:hAnsi="Times New Roman" w:eastAsia="华文隶书" w:cs="Times New Roman"/>
          <w:sz w:val="24"/>
          <w:highlight w:val="none"/>
        </w:rPr>
      </w:pPr>
      <w:r>
        <w:rPr>
          <w:rFonts w:hint="default" w:ascii="Times New Roman" w:hAnsi="Times New Roman" w:eastAsia="宋体" w:cs="Times New Roman"/>
          <w:sz w:val="24"/>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20C8B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79" w:name="_Toc18962"/>
      <w:bookmarkStart w:id="280" w:name="_Toc8070"/>
      <w:bookmarkStart w:id="281" w:name="_Toc234832934"/>
      <w:r>
        <w:rPr>
          <w:rFonts w:hint="default" w:ascii="Times New Roman" w:hAnsi="Times New Roman" w:eastAsia="黑体" w:cs="Times New Roman"/>
          <w:b w:val="0"/>
          <w:sz w:val="28"/>
          <w:szCs w:val="28"/>
          <w:highlight w:val="none"/>
        </w:rPr>
        <w:t>2. 评审标准</w:t>
      </w:r>
      <w:bookmarkEnd w:id="279"/>
      <w:bookmarkEnd w:id="280"/>
      <w:bookmarkEnd w:id="281"/>
    </w:p>
    <w:p w14:paraId="4308DBD2">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82" w:name="_Toc16015"/>
      <w:bookmarkStart w:id="283" w:name="_Toc234832935"/>
      <w:bookmarkStart w:id="284" w:name="_Toc23903"/>
      <w:r>
        <w:rPr>
          <w:rFonts w:hint="default" w:ascii="Times New Roman" w:hAnsi="Times New Roman" w:eastAsia="黑体" w:cs="Times New Roman"/>
          <w:b w:val="0"/>
          <w:sz w:val="24"/>
          <w:szCs w:val="24"/>
          <w:highlight w:val="none"/>
        </w:rPr>
        <w:t>2.1 初步评审标准</w:t>
      </w:r>
      <w:bookmarkEnd w:id="282"/>
      <w:bookmarkEnd w:id="283"/>
      <w:bookmarkEnd w:id="284"/>
    </w:p>
    <w:p w14:paraId="270831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 形式评审标准：见评标办法前附表。</w:t>
      </w:r>
    </w:p>
    <w:p w14:paraId="280D6D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 资格评审标准：见评标办法前附表。</w:t>
      </w:r>
    </w:p>
    <w:p w14:paraId="257A2A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2.1.3 响应性评审标准：见评标办法前附表。</w:t>
      </w:r>
    </w:p>
    <w:p w14:paraId="354CAED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85" w:name="_Toc24185"/>
      <w:bookmarkStart w:id="286" w:name="_Toc14031"/>
      <w:bookmarkStart w:id="287" w:name="_Toc234832936"/>
      <w:r>
        <w:rPr>
          <w:rFonts w:hint="default" w:ascii="Times New Roman" w:hAnsi="Times New Roman" w:eastAsia="黑体" w:cs="Times New Roman"/>
          <w:b w:val="0"/>
          <w:sz w:val="24"/>
          <w:szCs w:val="24"/>
          <w:highlight w:val="none"/>
        </w:rPr>
        <w:t>2.2 分值构成与评分标准</w:t>
      </w:r>
      <w:bookmarkEnd w:id="285"/>
      <w:bookmarkEnd w:id="286"/>
      <w:bookmarkEnd w:id="287"/>
    </w:p>
    <w:p w14:paraId="17300B81">
      <w:pPr>
        <w:pageBreakBefore w:val="0"/>
        <w:tabs>
          <w:tab w:val="left" w:pos="36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分值构成</w:t>
      </w:r>
    </w:p>
    <w:p w14:paraId="3B36A08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评标价：见评标办法前附表。</w:t>
      </w:r>
    </w:p>
    <w:p w14:paraId="161E3E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评标基准价计算</w:t>
      </w:r>
    </w:p>
    <w:p w14:paraId="0D6D416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评标基准价计算方法：见评标办法前附表。</w:t>
      </w:r>
    </w:p>
    <w:p w14:paraId="1ADA99A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2.2.3 评标价的偏差率计算</w:t>
      </w:r>
    </w:p>
    <w:p w14:paraId="6DC8F2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评标价的偏差率计算公式：见评标办法前附表。</w:t>
      </w:r>
    </w:p>
    <w:p w14:paraId="2122149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评分标准</w:t>
      </w:r>
    </w:p>
    <w:p w14:paraId="186F9945">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评标价评分标准：见评标办法前附表。</w:t>
      </w:r>
    </w:p>
    <w:p w14:paraId="0E12EA3E">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88" w:name="_Toc234832937"/>
      <w:bookmarkStart w:id="289" w:name="_Toc26597"/>
      <w:bookmarkStart w:id="290" w:name="_Toc4122"/>
      <w:r>
        <w:rPr>
          <w:rFonts w:hint="default" w:ascii="Times New Roman" w:hAnsi="Times New Roman" w:eastAsia="黑体" w:cs="Times New Roman"/>
          <w:b w:val="0"/>
          <w:sz w:val="28"/>
          <w:szCs w:val="28"/>
          <w:highlight w:val="none"/>
        </w:rPr>
        <w:t>3. 评标程序</w:t>
      </w:r>
      <w:bookmarkEnd w:id="288"/>
      <w:bookmarkEnd w:id="289"/>
      <w:bookmarkEnd w:id="290"/>
    </w:p>
    <w:p w14:paraId="20F0EEFB">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1" w:name="_Toc12133"/>
      <w:bookmarkStart w:id="292" w:name="_Toc13448"/>
      <w:bookmarkStart w:id="293" w:name="_Toc234832938"/>
      <w:r>
        <w:rPr>
          <w:rFonts w:hint="default" w:ascii="Times New Roman" w:hAnsi="Times New Roman" w:eastAsia="黑体" w:cs="Times New Roman"/>
          <w:b w:val="0"/>
          <w:sz w:val="24"/>
          <w:szCs w:val="24"/>
          <w:highlight w:val="none"/>
        </w:rPr>
        <w:t>3.1</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第一个信封初步评审</w:t>
      </w:r>
      <w:bookmarkEnd w:id="291"/>
      <w:bookmarkEnd w:id="292"/>
      <w:bookmarkEnd w:id="293"/>
    </w:p>
    <w:p w14:paraId="68DDAA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评标委员会依据本章第 2.1 款规定的评审标准对投标文件第一个信封（商务及技术文件）进行初步评审。有一项不符合评审标准的，评标委员会应否决其投标。</w:t>
      </w:r>
    </w:p>
    <w:p w14:paraId="453590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3.1.2  投标文件的标的、质量标准、工期等实质性要求和条件不得出现（存在）不利于招标人的偏差，否则，评标委员会应否决其投标。</w:t>
      </w:r>
    </w:p>
    <w:p w14:paraId="70521155">
      <w:pPr>
        <w:pageBreakBefore w:val="0"/>
        <w:kinsoku/>
        <w:wordWrap w:val="0"/>
        <w:bidi w:val="0"/>
        <w:spacing w:line="400" w:lineRule="atLeast"/>
        <w:ind w:firstLine="480" w:firstLineChars="200"/>
        <w:rPr>
          <w:rFonts w:hint="eastAsia"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3.1.3  如果通过第一信封评审的有效投标不足 3 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r>
        <w:rPr>
          <w:rFonts w:hint="eastAsia" w:cs="Times New Roman"/>
          <w:sz w:val="24"/>
          <w:highlight w:val="none"/>
          <w:lang w:eastAsia="zh-CN"/>
        </w:rPr>
        <w:t>。</w:t>
      </w:r>
    </w:p>
    <w:p w14:paraId="4481DD7E">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4" w:name="_Toc15940"/>
      <w:bookmarkStart w:id="295" w:name="_Toc20429"/>
      <w:r>
        <w:rPr>
          <w:rFonts w:hint="default" w:ascii="Times New Roman" w:hAnsi="Times New Roman" w:eastAsia="黑体" w:cs="Times New Roman"/>
          <w:b w:val="0"/>
          <w:sz w:val="24"/>
          <w:szCs w:val="24"/>
          <w:highlight w:val="none"/>
        </w:rPr>
        <w:t>3.2</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第二个信封开标</w:t>
      </w:r>
      <w:bookmarkEnd w:id="294"/>
      <w:bookmarkEnd w:id="295"/>
    </w:p>
    <w:p w14:paraId="3D82D75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第一个信封（商务及技术文件）评审结束后，招标人将按照第二章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第5.1款规定的时间和地点对通过投标文件第一个信封（商务及技术文件）评审的投标文件第二个信封（报价文件）进行开标。</w:t>
      </w:r>
    </w:p>
    <w:p w14:paraId="035A5DAF">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6" w:name="_Toc25423"/>
      <w:bookmarkStart w:id="297" w:name="_Toc10916"/>
      <w:r>
        <w:rPr>
          <w:rFonts w:hint="default" w:ascii="Times New Roman" w:hAnsi="Times New Roman" w:eastAsia="黑体" w:cs="Times New Roman"/>
          <w:b w:val="0"/>
          <w:sz w:val="24"/>
          <w:szCs w:val="24"/>
          <w:highlight w:val="none"/>
        </w:rPr>
        <w:t>3.3</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第二个信封初步评审</w:t>
      </w:r>
      <w:bookmarkEnd w:id="296"/>
      <w:bookmarkEnd w:id="297"/>
    </w:p>
    <w:p w14:paraId="1CB79D0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评标委员会依据本章第2.1.1项、第2.1.3项规定的评审标准对投标文件第二个信封（报价文件）进行初步评审。有一项不符合评审标准的，评标委员会应否决其投标。</w:t>
      </w:r>
    </w:p>
    <w:p w14:paraId="3CF65D2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w:t>
      </w:r>
      <w:r>
        <w:rPr>
          <w:rFonts w:hint="default" w:ascii="Times New Roman" w:hAnsi="Times New Roman" w:eastAsia="宋体" w:cs="Times New Roman"/>
          <w:highlight w:val="none"/>
          <w:vertAlign w:val="superscript"/>
        </w:rPr>
        <w:footnoteReference w:id="26"/>
      </w:r>
      <w:r>
        <w:rPr>
          <w:rFonts w:hint="default" w:ascii="Times New Roman" w:hAnsi="Times New Roman" w:eastAsia="宋体" w:cs="Times New Roman"/>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14:paraId="1DF5AC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（1）投标文件中的大写金额与小写金额不一致的，以大写金额为准；</w:t>
      </w:r>
    </w:p>
    <w:p w14:paraId="71A6C9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（2）总价金额与依据单价计算出的结果不一致的，以单价金额为准修正总价，但单价金额小数点有明显错误的除外；</w:t>
      </w:r>
    </w:p>
    <w:p w14:paraId="52C4E52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（3）当单价与数量相乘不等于合价时，以单价计算为准，如果单价有明显的小数点位置差错，应以标出的合价为准，同时对单价予以修正；</w:t>
      </w:r>
    </w:p>
    <w:p w14:paraId="55561BD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（4）当各子目的合价累计不等于总价时，应以各子目合价累计数为准，修正总价。</w:t>
      </w:r>
    </w:p>
    <w:p w14:paraId="7A70009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工程量清单中的投标报价有其他错误的，评标委员会按以下原则对投标报价进行修正，修正的价格经投标人书面确认后具有约束力。投标人不接受修正价格的，评标委员会应否决其投标。</w:t>
      </w:r>
    </w:p>
    <w:p w14:paraId="6FE0948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75F69F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1DBD25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（3）当单价与数量的乘积与合价（金额）虽然一致，但投标人修改了该子目的工程数量，则其合价按招标人给定的工程数量乘以投标人所报单价予以修正。</w:t>
      </w:r>
    </w:p>
    <w:p w14:paraId="5968ADE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3.3.4 修正后的最终投标报价若超过最高投标限价（如有），评标委员会应否决其投标。</w:t>
      </w:r>
    </w:p>
    <w:p w14:paraId="74060B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3.3.5 修正后的最终投标报价仅作为签订合同的一个依据，不参与评标价得分的计算。</w:t>
      </w:r>
    </w:p>
    <w:p w14:paraId="01E86F34">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8" w:name="_Toc234832939"/>
      <w:bookmarkStart w:id="299" w:name="_Toc32333"/>
      <w:bookmarkStart w:id="300" w:name="_Toc5221"/>
      <w:r>
        <w:rPr>
          <w:rFonts w:hint="default" w:ascii="Times New Roman" w:hAnsi="Times New Roman" w:eastAsia="黑体" w:cs="Times New Roman"/>
          <w:b w:val="0"/>
          <w:sz w:val="24"/>
          <w:szCs w:val="24"/>
          <w:highlight w:val="none"/>
        </w:rPr>
        <w:t>3.4</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第二个信封详细评审</w:t>
      </w:r>
      <w:bookmarkEnd w:id="298"/>
      <w:bookmarkEnd w:id="299"/>
      <w:bookmarkEnd w:id="300"/>
    </w:p>
    <w:p w14:paraId="6A5D95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评标委员会按本章第2.2款规定的量化因素和分值进行打分，并计算出综合评估得分（即评标价得分）。</w:t>
      </w:r>
    </w:p>
    <w:p w14:paraId="6A087F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投标人得分分值计算保留小数点后两位，小数点后第三位</w:t>
      </w:r>
      <w:r>
        <w:rPr>
          <w:rFonts w:hint="eastAsia" w:ascii="宋体" w:hAnsi="宋体" w:eastAsia="宋体" w:cs="宋体"/>
          <w:sz w:val="24"/>
          <w:highlight w:val="none"/>
        </w:rPr>
        <w:t>“</w:t>
      </w:r>
      <w:r>
        <w:rPr>
          <w:rFonts w:hint="default" w:ascii="Times New Roman" w:hAnsi="Times New Roman" w:eastAsia="宋体" w:cs="Times New Roman"/>
          <w:sz w:val="24"/>
          <w:highlight w:val="none"/>
        </w:rPr>
        <w:t>四舍五入</w:t>
      </w:r>
      <w:r>
        <w:rPr>
          <w:rFonts w:hint="eastAsia" w:ascii="宋体" w:hAnsi="宋体" w:eastAsia="宋体" w:cs="宋体"/>
          <w:sz w:val="24"/>
          <w:highlight w:val="none"/>
        </w:rPr>
        <w:t>”</w:t>
      </w:r>
      <w:r>
        <w:rPr>
          <w:rFonts w:hint="default" w:ascii="Times New Roman" w:hAnsi="Times New Roman" w:eastAsia="宋体" w:cs="Times New Roman"/>
          <w:sz w:val="24"/>
          <w:highlight w:val="none"/>
        </w:rPr>
        <w:t>。</w:t>
      </w:r>
    </w:p>
    <w:p w14:paraId="1D1A212C">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3.4.3  评标委员会发现投标人的报价明显低于其他投标报价，是有可能影响履约的异常低价，应按本章 3.6 款的规定向投标人发出澄清，要求该投标人作出书面说明该报价的合理性并提供相应证明材料。当投标人不能合理说明并证明其报价的合理性的，评标委员会应以少数服从多数的原则否决其投标。</w:t>
      </w:r>
    </w:p>
    <w:p w14:paraId="0F4124E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1" w:name="_Toc7727"/>
      <w:bookmarkStart w:id="302" w:name="_Toc2091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投标文件相关信息的核查</w:t>
      </w:r>
      <w:bookmarkEnd w:id="301"/>
      <w:bookmarkEnd w:id="302"/>
    </w:p>
    <w:p w14:paraId="467A87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 在评标过程中，评标委员会应查询交通运输主管部门“全国公路建设市场监督管理系统 ”，对投标人的资质、业绩、主要人员资历和目前在岗情况、信用等级等信息进行核实。若投标文件载明的信息与交通运输主管部门“全国公路建设市场监督管理系统 ”发布的信息不符，使得投标人的资格条件不符合招标文件规定的，评标委员会应否决其投标。</w:t>
      </w:r>
    </w:p>
    <w:p w14:paraId="5ED9390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6F3C3D2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（1）有下列情形之一的，属于投标人相互串通投标：</w:t>
      </w:r>
    </w:p>
    <w:p w14:paraId="5B76E54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a.投标人之间协商投标报价等投标文件的实质性内容；</w:t>
      </w:r>
    </w:p>
    <w:p w14:paraId="36F100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b.投标人之间约定中标人；</w:t>
      </w:r>
    </w:p>
    <w:p w14:paraId="2D33F9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c.投标人之间约定部分投标人放弃投标或中标；</w:t>
      </w:r>
    </w:p>
    <w:p w14:paraId="51D5C35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d.属于同一集团、协会、商会等组织成员的投标人按照该组织要求协同投标；</w:t>
      </w:r>
    </w:p>
    <w:p w14:paraId="46DDB6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e.投标人之间为谋取中标或排斥特定投标人而采取的其他联合行动。</w:t>
      </w:r>
    </w:p>
    <w:p w14:paraId="7B185E6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（2）有下列情形之一的，视为投标人相互串通投标：</w:t>
      </w:r>
    </w:p>
    <w:p w14:paraId="2EBAB5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a.不同投标人的投标文件由同一单位或个人编制；</w:t>
      </w:r>
    </w:p>
    <w:p w14:paraId="6BBEB70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b.不同投标人委托同一单位或个人办理投标事宜；</w:t>
      </w:r>
    </w:p>
    <w:p w14:paraId="59EAF9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c.不同投标人的投标文件载明的项目管理成员为同一人；</w:t>
      </w:r>
    </w:p>
    <w:p w14:paraId="2B23FD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d.不同投标人的投标文件异常一致或投标报价呈规律性差异；</w:t>
      </w:r>
    </w:p>
    <w:p w14:paraId="6FFDA53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e.不同投标人的投标文件相互混装；</w:t>
      </w:r>
    </w:p>
    <w:p w14:paraId="111D807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f.不同投标人的投标保证金从同一单位或个人的账户转出。</w:t>
      </w:r>
    </w:p>
    <w:p w14:paraId="387813B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（3）有下列情形之一的，属于招标人与投标人串通投标：</w:t>
      </w:r>
    </w:p>
    <w:p w14:paraId="7A4BA0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a.招标人在开标前开启投标文件并将有关信息泄露给其他投标人;</w:t>
      </w:r>
    </w:p>
    <w:p w14:paraId="6FC86E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b.招标人直接或间接向投标人泄露标底、评标委员会成员等信息；</w:t>
      </w:r>
    </w:p>
    <w:p w14:paraId="2472C6A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c.招标人明示或暗示投标人压低或抬高投标报价；</w:t>
      </w:r>
    </w:p>
    <w:p w14:paraId="4C04A06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d.招标人授意投标人撤换、修改投标文件；</w:t>
      </w:r>
    </w:p>
    <w:p w14:paraId="6BC256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e.招标人明示或暗示投标人为特定投标人中标提供方便；</w:t>
      </w:r>
    </w:p>
    <w:p w14:paraId="65936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f.招标人与投标人为谋求特定投标人中标而采取的其他串通行为。</w:t>
      </w:r>
    </w:p>
    <w:p w14:paraId="75CA8DF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（4）投标人有下列情形之一的，属于弄虚作假的行为：</w:t>
      </w:r>
    </w:p>
    <w:p w14:paraId="2109E0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a.使用通过受让或租借等方式获取的资格、资质证书投标；</w:t>
      </w:r>
    </w:p>
    <w:p w14:paraId="7E91AE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b.使用伪造、变造的许可证件；</w:t>
      </w:r>
    </w:p>
    <w:p w14:paraId="2E5B37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c.提供虚假的财务状况或业绩；</w:t>
      </w:r>
    </w:p>
    <w:p w14:paraId="3B0615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d.提供虚假的项目负责人或主要技术人员简历、劳动关系证明；</w:t>
      </w:r>
    </w:p>
    <w:p w14:paraId="33457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e.提供虚假的信用状况；</w:t>
      </w:r>
    </w:p>
    <w:p w14:paraId="5E5562C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f.其他弄虚作假的行为。</w:t>
      </w:r>
    </w:p>
    <w:p w14:paraId="7FBC20A1">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03" w:name="_Toc15234"/>
      <w:bookmarkStart w:id="304" w:name="_Toc28829"/>
      <w:bookmarkStart w:id="305" w:name="_Toc234832940"/>
      <w:r>
        <w:rPr>
          <w:rFonts w:hint="default" w:ascii="Times New Roman" w:hAnsi="Times New Roman" w:eastAsia="黑体" w:cs="Times New Roman"/>
          <w:b w:val="0"/>
          <w:sz w:val="24"/>
          <w:szCs w:val="24"/>
          <w:highlight w:val="none"/>
        </w:rPr>
        <w:t>3.6 投标文件的澄清和说明</w:t>
      </w:r>
      <w:bookmarkEnd w:id="303"/>
      <w:bookmarkEnd w:id="304"/>
    </w:p>
    <w:p w14:paraId="6F37B6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A445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澄清和说明不得超出投标文件的范围或改变投标文件的实质性内容（算术性错误的修正除外）。投标人的书面澄清、说明属于投标文件的组成部分。</w:t>
      </w:r>
    </w:p>
    <w:p w14:paraId="67862E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评标委员会不得暗示或诱导投标人作出澄清、说明，对投标人提交的澄清、说明有疑问的，可以要求投标人进一步澄清或说明，直至满足评标委员会的要求。</w:t>
      </w:r>
      <w:bookmarkEnd w:id="305"/>
    </w:p>
    <w:p w14:paraId="497F1618">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3.6.4 凡超出招标文件规定的或给发包人带来未曾要求的利益的变化、偏差或其他因素在评标时不予考虑。</w:t>
      </w:r>
    </w:p>
    <w:p w14:paraId="5B1E0667">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06" w:name="_Toc7796"/>
      <w:bookmarkStart w:id="307" w:name="_Toc6947"/>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w:t>
      </w:r>
      <w:r>
        <w:rPr>
          <w:rFonts w:hint="default" w:ascii="Times New Roman" w:hAnsi="Times New Roman" w:eastAsia="黑体" w:cs="Times New Roman"/>
          <w:b w:val="0"/>
          <w:sz w:val="24"/>
          <w:szCs w:val="24"/>
          <w:highlight w:val="none"/>
        </w:rPr>
        <w:t>7 不得否决投标的情形</w:t>
      </w:r>
      <w:bookmarkEnd w:id="306"/>
      <w:bookmarkEnd w:id="307"/>
    </w:p>
    <w:p w14:paraId="735C9AB7">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投标文件存在第二章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第1.12.3项所列情形的，均视为细微偏差，评标委员会不得否决投标人的投标，应按照第二章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第1.12.4项规定的原则处理。</w:t>
      </w:r>
    </w:p>
    <w:p w14:paraId="54793285">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8" w:name="_Toc28490"/>
      <w:bookmarkStart w:id="309" w:name="_Toc8848"/>
      <w:bookmarkStart w:id="310" w:name="_Toc234832941"/>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8</w:t>
      </w:r>
      <w:r>
        <w:rPr>
          <w:rFonts w:hint="default" w:ascii="Times New Roman" w:hAnsi="Times New Roman" w:eastAsia="黑体" w:cs="Times New Roman"/>
          <w:b w:val="0"/>
          <w:sz w:val="24"/>
          <w:szCs w:val="24"/>
          <w:highlight w:val="none"/>
        </w:rPr>
        <w:t xml:space="preserve"> 评标结果</w:t>
      </w:r>
      <w:bookmarkEnd w:id="308"/>
      <w:bookmarkEnd w:id="309"/>
      <w:bookmarkEnd w:id="310"/>
    </w:p>
    <w:p w14:paraId="12259F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3.8.1 除第二章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前附表授权直接确定中标人外，评标委员会按照得分由高到低的顺序推荐中标候选人，并标明排序。</w:t>
      </w:r>
    </w:p>
    <w:p w14:paraId="7A694EF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3.8.2 评标委员会完成评标后，应向招标人提交评标报告。</w:t>
      </w:r>
    </w:p>
    <w:p w14:paraId="503DF083">
      <w:pPr>
        <w:pStyle w:val="23"/>
        <w:pageBreakBefore w:val="0"/>
        <w:kinsoku/>
        <w:wordWrap w:val="0"/>
        <w:bidi w:val="0"/>
        <w:spacing w:line="360" w:lineRule="atLeast"/>
        <w:ind w:firstLine="480"/>
        <w:rPr>
          <w:rFonts w:hint="default" w:ascii="Times New Roman" w:hAnsi="Times New Roman" w:eastAsia="隶书" w:cs="Times New Roman"/>
          <w:sz w:val="24"/>
          <w:szCs w:val="24"/>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1DA807B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72E78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EAD76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D1148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8E261C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8CA3F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3D479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30E40C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8F9436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3AC84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9324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18B2DE">
      <w:pPr>
        <w:pStyle w:val="2"/>
        <w:pageBreakBefore w:val="0"/>
        <w:kinsoku/>
        <w:wordWrap w:val="0"/>
        <w:bidi w:val="0"/>
        <w:spacing w:before="240" w:after="240" w:line="380" w:lineRule="atLeast"/>
        <w:jc w:val="center"/>
        <w:rPr>
          <w:rFonts w:hint="default" w:ascii="Times New Roman" w:hAnsi="Times New Roman" w:eastAsia="黑体" w:cs="Times New Roman"/>
          <w:b w:val="0"/>
          <w:sz w:val="56"/>
          <w:szCs w:val="56"/>
          <w:highlight w:val="none"/>
        </w:rPr>
      </w:pPr>
      <w:bookmarkStart w:id="311" w:name="_Toc29180"/>
      <w:bookmarkStart w:id="312" w:name="_Toc234832964"/>
      <w:bookmarkStart w:id="313" w:name="_Toc27019"/>
      <w:r>
        <w:rPr>
          <w:rFonts w:hint="default" w:ascii="Times New Roman" w:hAnsi="Times New Roman" w:eastAsia="黑体" w:cs="Times New Roman"/>
          <w:b w:val="0"/>
          <w:sz w:val="56"/>
          <w:szCs w:val="56"/>
          <w:highlight w:val="none"/>
        </w:rPr>
        <w:t>第四章  合同条款及格式</w:t>
      </w:r>
      <w:bookmarkEnd w:id="311"/>
      <w:bookmarkEnd w:id="312"/>
      <w:bookmarkEnd w:id="313"/>
    </w:p>
    <w:p w14:paraId="04F79596">
      <w:pPr>
        <w:pageBreakBefore w:val="0"/>
        <w:kinsoku/>
        <w:wordWrap w:val="0"/>
        <w:bidi w:val="0"/>
        <w:spacing w:line="440" w:lineRule="exact"/>
        <w:rPr>
          <w:rFonts w:hint="default" w:ascii="Times New Roman" w:hAnsi="Times New Roman" w:eastAsia="黑体" w:cs="Times New Roman"/>
          <w:sz w:val="20"/>
          <w:szCs w:val="20"/>
          <w:highlight w:val="none"/>
        </w:rPr>
      </w:pPr>
    </w:p>
    <w:p w14:paraId="017200C7">
      <w:pPr>
        <w:pageBreakBefore w:val="0"/>
        <w:kinsoku/>
        <w:wordWrap w:val="0"/>
        <w:bidi w:val="0"/>
        <w:spacing w:line="440" w:lineRule="exact"/>
        <w:rPr>
          <w:rFonts w:hint="default" w:ascii="Times New Roman" w:hAnsi="Times New Roman" w:eastAsia="黑体" w:cs="Times New Roman"/>
          <w:sz w:val="20"/>
          <w:szCs w:val="20"/>
          <w:highlight w:val="none"/>
        </w:rPr>
      </w:pPr>
    </w:p>
    <w:p w14:paraId="04A351C6">
      <w:pPr>
        <w:pageBreakBefore w:val="0"/>
        <w:kinsoku/>
        <w:wordWrap w:val="0"/>
        <w:bidi w:val="0"/>
        <w:spacing w:line="440" w:lineRule="exact"/>
        <w:rPr>
          <w:rFonts w:hint="default" w:ascii="Times New Roman" w:hAnsi="Times New Roman" w:eastAsia="黑体" w:cs="Times New Roman"/>
          <w:sz w:val="20"/>
          <w:szCs w:val="20"/>
          <w:highlight w:val="none"/>
        </w:rPr>
      </w:pPr>
    </w:p>
    <w:p w14:paraId="03CB6981">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cs="Times New Roman"/>
          <w:sz w:val="20"/>
          <w:szCs w:val="20"/>
          <w:highlight w:val="none"/>
        </w:rPr>
        <w:br w:type="page"/>
      </w:r>
      <w:bookmarkStart w:id="314" w:name="_Toc234832965"/>
    </w:p>
    <w:p w14:paraId="229130D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63E1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82FA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FABF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2096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776A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64357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EEADFE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CB25C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65966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BB4CAD">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315" w:name="_Toc18651"/>
      <w:bookmarkStart w:id="316" w:name="_Toc8846"/>
      <w:r>
        <w:rPr>
          <w:rFonts w:hint="default" w:ascii="Times New Roman" w:hAnsi="Times New Roman" w:eastAsia="黑体" w:cs="Times New Roman"/>
          <w:b w:val="0"/>
          <w:sz w:val="42"/>
          <w:szCs w:val="42"/>
          <w:highlight w:val="none"/>
        </w:rPr>
        <w:t>第一节  通用合同条款</w:t>
      </w:r>
      <w:bookmarkEnd w:id="314"/>
      <w:r>
        <w:rPr>
          <w:rStyle w:val="48"/>
          <w:rFonts w:hint="default" w:ascii="Times New Roman" w:hAnsi="Times New Roman" w:eastAsia="黑体" w:cs="Times New Roman"/>
          <w:b w:val="0"/>
          <w:sz w:val="32"/>
          <w:szCs w:val="32"/>
          <w:highlight w:val="none"/>
        </w:rPr>
        <w:footnoteReference w:id="27"/>
      </w:r>
      <w:bookmarkEnd w:id="315"/>
      <w:bookmarkEnd w:id="316"/>
    </w:p>
    <w:p w14:paraId="3D5C9E58">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317" w:name="_Toc1159"/>
      <w:bookmarkStart w:id="318" w:name="_Toc1065"/>
      <w:bookmarkStart w:id="319" w:name="_Toc14452"/>
      <w:bookmarkStart w:id="320" w:name="_Toc234832966"/>
      <w:r>
        <w:rPr>
          <w:rFonts w:hint="default" w:ascii="Times New Roman" w:hAnsi="Times New Roman" w:eastAsia="黑体" w:cs="Times New Roman"/>
          <w:b w:val="0"/>
          <w:sz w:val="32"/>
          <w:szCs w:val="32"/>
          <w:highlight w:val="none"/>
        </w:rPr>
        <w:t>通用合同条款</w:t>
      </w:r>
      <w:bookmarkEnd w:id="317"/>
      <w:bookmarkEnd w:id="318"/>
      <w:bookmarkEnd w:id="319"/>
      <w:bookmarkEnd w:id="320"/>
    </w:p>
    <w:p w14:paraId="4958CA01">
      <w:pPr>
        <w:pStyle w:val="2"/>
        <w:pageBreakBefore w:val="0"/>
        <w:kinsoku/>
        <w:wordWrap w:val="0"/>
        <w:bidi w:val="0"/>
        <w:spacing w:before="360" w:after="240" w:line="380" w:lineRule="atLeast"/>
        <w:rPr>
          <w:rFonts w:hint="default" w:ascii="Times New Roman" w:hAnsi="Times New Roman" w:eastAsia="黑体" w:cs="Times New Roman"/>
          <w:b w:val="0"/>
          <w:sz w:val="28"/>
          <w:szCs w:val="28"/>
          <w:highlight w:val="none"/>
        </w:rPr>
      </w:pPr>
      <w:bookmarkStart w:id="321" w:name="_Toc234832967"/>
      <w:bookmarkStart w:id="322" w:name="_Toc30881"/>
      <w:bookmarkStart w:id="323" w:name="_Toc21253"/>
      <w:bookmarkStart w:id="324" w:name="_Toc28721"/>
      <w:r>
        <w:rPr>
          <w:rFonts w:hint="default" w:ascii="Times New Roman" w:hAnsi="Times New Roman" w:eastAsia="黑体" w:cs="Times New Roman"/>
          <w:b w:val="0"/>
          <w:sz w:val="28"/>
          <w:szCs w:val="28"/>
          <w:highlight w:val="none"/>
        </w:rPr>
        <w:t>1. 一般约定</w:t>
      </w:r>
      <w:bookmarkEnd w:id="321"/>
      <w:bookmarkEnd w:id="322"/>
      <w:bookmarkEnd w:id="323"/>
      <w:bookmarkEnd w:id="324"/>
      <w:r>
        <w:rPr>
          <w:rFonts w:hint="default" w:ascii="Times New Roman" w:hAnsi="Times New Roman" w:eastAsia="黑体" w:cs="Times New Roman"/>
          <w:b w:val="0"/>
          <w:sz w:val="28"/>
          <w:szCs w:val="28"/>
          <w:highlight w:val="none"/>
        </w:rPr>
        <w:tab/>
      </w:r>
    </w:p>
    <w:p w14:paraId="6AF693A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25" w:name="_Toc234832968"/>
      <w:bookmarkStart w:id="326" w:name="_Toc10064"/>
      <w:bookmarkStart w:id="327" w:name="_Toc5421"/>
      <w:bookmarkStart w:id="328" w:name="_Toc23552"/>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325"/>
      <w:bookmarkEnd w:id="326"/>
      <w:bookmarkEnd w:id="327"/>
      <w:bookmarkEnd w:id="328"/>
    </w:p>
    <w:p w14:paraId="57CAC99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通用合同条款、专用合同条款中的下列词语应具有本款所赋予的含义。</w:t>
      </w:r>
    </w:p>
    <w:p w14:paraId="13423B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1.1.1 </w:t>
      </w:r>
      <w:r>
        <w:rPr>
          <w:rFonts w:hint="default" w:ascii="Times New Roman" w:hAnsi="Times New Roman" w:eastAsia="黑体" w:cs="Times New Roman"/>
          <w:sz w:val="24"/>
          <w:highlight w:val="none"/>
        </w:rPr>
        <w:t>合同</w:t>
      </w:r>
    </w:p>
    <w:p w14:paraId="0D83E14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 合同文件（或称合同）：指合同协议书、中标通知书、投标函及投标函附录、专用合同条款、通用合同条款、技术标准和要求、图纸、已标价工程量清单，以及其他合同文件。</w:t>
      </w:r>
    </w:p>
    <w:p w14:paraId="293FD6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1.1.1.2 合同协议书：指第1.5款所指的合同协议书。</w:t>
      </w:r>
    </w:p>
    <w:p w14:paraId="3F9A1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1.1.1.3 中标通知书：指发包人通知承包人中标的函件。</w:t>
      </w:r>
    </w:p>
    <w:p w14:paraId="530E32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1.1.1.4 投标函：指构成合同文件组成部分的由承包人填写并签署的投标函。</w:t>
      </w:r>
    </w:p>
    <w:p w14:paraId="4039302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1.1.1.5 投标函附录：指附在投标函后构成合同文件的投标函附录。</w:t>
      </w:r>
    </w:p>
    <w:p w14:paraId="192DD83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1.1.1.6 技术标准和要求：指构成合同文件组成部分的名为技术标准和要求的文件，包括合同双方当事人约定对其所作的修改或补充。</w:t>
      </w:r>
    </w:p>
    <w:p w14:paraId="6AEC195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1.1.1.7 图纸：指包含在合同中的工程图纸，以及由发包人按合同约定提供的任何补充和修改的图纸，包括配套的说明。</w:t>
      </w:r>
    </w:p>
    <w:p w14:paraId="382561F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1.1.1.8 已标价工程量清单：指构成合同文件组成部分的由承包人按照规定的格式和要求填写并标明价格的工程量清单。</w:t>
      </w:r>
    </w:p>
    <w:p w14:paraId="4353EB6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1.1.1.9 其他合同文件：指经合同双方当事人确认构成合同文件的其他文件。</w:t>
      </w:r>
    </w:p>
    <w:p w14:paraId="499C10E5">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598EBFC1">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1.1.2.1 合同当事人：指发包人和（或）承包人。</w:t>
      </w:r>
    </w:p>
    <w:p w14:paraId="52FADAB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1.1.2.2 发包人：指专用合同条款中指明并与承包人在合同协议书中签字的当事人。</w:t>
      </w:r>
    </w:p>
    <w:p w14:paraId="1A5E24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1.1.2.3承包人：指与发包人签订合同协议书的当事人。</w:t>
      </w:r>
    </w:p>
    <w:p w14:paraId="798B355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1.1.2.4承包人项目经理：指承包人派驻施工场地的全权负责人。</w:t>
      </w:r>
    </w:p>
    <w:p w14:paraId="7F25A0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1.1.2.5分包人：指从承包人处分包合同中某一部分工程，并与其签订分包合同的分包人。</w:t>
      </w:r>
    </w:p>
    <w:p w14:paraId="4839943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1.1.2.6监理人：指在专用合同条款中指明的，受发包人委托对合同履行实施管理的法人或其他组织。</w:t>
      </w:r>
    </w:p>
    <w:p w14:paraId="6065AC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1.1.2.7总监理工程师（总监）：指由监理人委派常驻施工场地对合同履行实施管理的全权负责人。</w:t>
      </w:r>
    </w:p>
    <w:p w14:paraId="766C94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65EED01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 工程：指永久工程和（或）临时工程。</w:t>
      </w:r>
    </w:p>
    <w:p w14:paraId="53F9903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1.1.3.2 永久工程：指按合同约定建造并移交给发包人的工程，包括工程设备。</w:t>
      </w:r>
    </w:p>
    <w:p w14:paraId="127C667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1.1.3.3 临时工程：指为完成合同约定的永久工程所修建的各类临时性工程，不包括施工设备。</w:t>
      </w:r>
    </w:p>
    <w:p w14:paraId="5706163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1.1.3.4 单位工程：指专用合同条款中指明特定范围的永久工程。</w:t>
      </w:r>
    </w:p>
    <w:p w14:paraId="3ABEE7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1.1.3.5 工程设备：指构成或计划构成永久工程一部分的机电设备、金属结构设备、仪器装置及其他类似的设备和装置。</w:t>
      </w:r>
    </w:p>
    <w:p w14:paraId="7F83026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1.1.3.6 施工设备：指为完成合同约定的各项工作所需的设备、器具和其他物品，不包括临时工程和材料。</w:t>
      </w:r>
    </w:p>
    <w:p w14:paraId="10829DB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1.1.3.7临时设施：指为完成合同约定的各项工作所服务的临时性生产和生活设施。</w:t>
      </w:r>
    </w:p>
    <w:p w14:paraId="10EBCB5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1.1.3.8 承包人设备：指承包人自带的施工设备。</w:t>
      </w:r>
    </w:p>
    <w:p w14:paraId="2D6AC61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1.1.3.9 施工场地（或称工地、现场）：指用于合同工程施工的场所，以及在合同中指定作为施工场地组成部分的其他场所，包括永久占地和临时占地。</w:t>
      </w:r>
    </w:p>
    <w:p w14:paraId="5E4C3C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1.1.3.10 永久占地：指专用合同条款中指明为实施合同工程需永久占用的土地。</w:t>
      </w:r>
    </w:p>
    <w:p w14:paraId="3F05D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1.1.3.11 临时占地：指专用合同条款中指明为实施合同工程需临时占用的土地。</w:t>
      </w:r>
    </w:p>
    <w:p w14:paraId="18290FC6">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1.1.4 </w:t>
      </w:r>
      <w:r>
        <w:rPr>
          <w:rFonts w:hint="default" w:ascii="Times New Roman" w:hAnsi="Times New Roman" w:eastAsia="黑体" w:cs="Times New Roman"/>
          <w:sz w:val="24"/>
          <w:highlight w:val="none"/>
        </w:rPr>
        <w:t>日期</w:t>
      </w:r>
    </w:p>
    <w:p w14:paraId="77E101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1.1.4.1 开工通知：指监理人按第11.1款通知承包人开工的函件。</w:t>
      </w:r>
    </w:p>
    <w:p w14:paraId="66A3F0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1.1.4.2 开工日期：指监理人按第11.1款发出的开工通知中写明的开工日期。</w:t>
      </w:r>
    </w:p>
    <w:p w14:paraId="133E76A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1.1.4.3 工期：指承包人在投标函中承诺的完成合同工程所需的期限，包括按第11.3款、第11.4款和第11.6款约定所作的变更。</w:t>
      </w:r>
    </w:p>
    <w:p w14:paraId="42AB16E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1.1.4.4 竣工日期：指第1.1.4.3目约定工期届满时的日期。实际竣工日期以工程接收证书中写明的日期为准。</w:t>
      </w:r>
    </w:p>
    <w:p w14:paraId="4E4ED4C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1.1.4.5 缺陷责任期：指履行第19.2款约定的缺陷责任的期限，具体期限由专用合同条款约定，包括根据第19.3款约定所作的延长。</w:t>
      </w:r>
    </w:p>
    <w:p w14:paraId="5BB8E84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1.1.4.6 基准日期：指投标截止时间前28天的日期。</w:t>
      </w:r>
    </w:p>
    <w:p w14:paraId="3210BD8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1.1.4.7 天：除特别指明外，指日历天。合同中按天计算时间的，开始当天不计入，从次日开始计算。期限最后一天的截止时间为当天24:00。</w:t>
      </w:r>
    </w:p>
    <w:p w14:paraId="330F18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1.1.5 </w:t>
      </w:r>
      <w:r>
        <w:rPr>
          <w:rFonts w:hint="default" w:ascii="Times New Roman" w:hAnsi="Times New Roman" w:eastAsia="黑体" w:cs="Times New Roman"/>
          <w:sz w:val="24"/>
          <w:highlight w:val="none"/>
        </w:rPr>
        <w:t>合同价格和费用</w:t>
      </w:r>
    </w:p>
    <w:p w14:paraId="3C25F7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1.1.5.1 签约合同价：指签订合同时合同协议书中写明的，包括了暂列金额、暂估价的合同总金额。</w:t>
      </w:r>
    </w:p>
    <w:p w14:paraId="674EEF9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1.1.5.2 合同价格：指承包人按合同约定完成了包括缺陷责任期内的全部承包工作后，发包人应付给承包人的金额，包括在履行合同过程中按合同约定进行的变更和调整。</w:t>
      </w:r>
    </w:p>
    <w:p w14:paraId="73A67FE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1.1.5.3 费用：指为履行合同所发生的或将要发生的所有合理开支，包括管理费和应分摊的其他费用，但不包括利润。</w:t>
      </w:r>
    </w:p>
    <w:p w14:paraId="14B017E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21E43F7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1.1.5.5暂估价：指发包人在工程量清单中给定的用于支付必然发生但暂时不能确定价格的材料、工程设备以及专业工程的金额。</w:t>
      </w:r>
    </w:p>
    <w:p w14:paraId="0D23814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1.1.5.6 计日工：指对零星工作采取的一种计价方式，按合同中的计日工子目及其单价计价付款。</w:t>
      </w:r>
    </w:p>
    <w:p w14:paraId="77A66D8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1.1.5.7 质量保证金（或称保留金）：指按第17.4.1项约定用于保证在缺陷责任期内履行缺陷修复义务的金额。</w:t>
      </w:r>
    </w:p>
    <w:p w14:paraId="4C20C33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42AD880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1.1.6.1 书面形式：指合同文件、信函、电报、传真等可以有形地表现所载内容的形式。</w:t>
      </w:r>
    </w:p>
    <w:p w14:paraId="7CC3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29" w:name="_Toc25135"/>
      <w:bookmarkStart w:id="330" w:name="_Toc11933"/>
      <w:bookmarkStart w:id="331" w:name="_Toc234832969"/>
      <w:bookmarkStart w:id="332" w:name="_Toc22350"/>
      <w:r>
        <w:rPr>
          <w:rFonts w:hint="default" w:ascii="Times New Roman" w:hAnsi="Times New Roman" w:eastAsia="黑体" w:cs="Times New Roman"/>
          <w:b w:val="0"/>
          <w:sz w:val="24"/>
          <w:szCs w:val="24"/>
          <w:highlight w:val="none"/>
        </w:rPr>
        <w:t>1.2 语言文字</w:t>
      </w:r>
      <w:bookmarkEnd w:id="329"/>
      <w:bookmarkEnd w:id="330"/>
      <w:bookmarkEnd w:id="331"/>
      <w:bookmarkEnd w:id="332"/>
    </w:p>
    <w:p w14:paraId="2288458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除专用术语外，合同使用的语言文字为中文。必要时专用术语应附有中文注释。</w:t>
      </w:r>
    </w:p>
    <w:p w14:paraId="7FB5F1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33" w:name="_Toc13856"/>
      <w:bookmarkStart w:id="334" w:name="_Toc19788"/>
      <w:bookmarkStart w:id="335" w:name="_Toc234832970"/>
      <w:bookmarkStart w:id="336" w:name="_Toc8637"/>
      <w:r>
        <w:rPr>
          <w:rFonts w:hint="default" w:ascii="Times New Roman" w:hAnsi="Times New Roman" w:eastAsia="黑体" w:cs="Times New Roman"/>
          <w:b w:val="0"/>
          <w:sz w:val="24"/>
          <w:szCs w:val="24"/>
          <w:highlight w:val="none"/>
        </w:rPr>
        <w:t>1.3 法律</w:t>
      </w:r>
      <w:bookmarkEnd w:id="333"/>
      <w:bookmarkEnd w:id="334"/>
      <w:bookmarkEnd w:id="335"/>
      <w:bookmarkEnd w:id="336"/>
    </w:p>
    <w:p w14:paraId="03654CE5">
      <w:pPr>
        <w:pageBreakBefore w:val="0"/>
        <w:tabs>
          <w:tab w:val="left" w:pos="7020"/>
        </w:tabs>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适用于合同的法律包括中华人民共和国法律、行政法规、部门规章，以及工程所在地的地方法规、自治条例、单行条例和地方政府规章。</w:t>
      </w:r>
    </w:p>
    <w:p w14:paraId="09B24CE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37" w:name="_Toc8196"/>
      <w:bookmarkStart w:id="338" w:name="_Toc9336"/>
      <w:bookmarkStart w:id="339" w:name="_Toc234832971"/>
      <w:bookmarkStart w:id="340" w:name="_Toc20508"/>
      <w:r>
        <w:rPr>
          <w:rFonts w:hint="default" w:ascii="Times New Roman" w:hAnsi="Times New Roman" w:eastAsia="黑体" w:cs="Times New Roman"/>
          <w:b w:val="0"/>
          <w:sz w:val="24"/>
          <w:szCs w:val="24"/>
          <w:highlight w:val="none"/>
        </w:rPr>
        <w:t>1.4 合同文件的优先顺序</w:t>
      </w:r>
      <w:bookmarkEnd w:id="337"/>
      <w:bookmarkEnd w:id="338"/>
      <w:bookmarkEnd w:id="339"/>
      <w:bookmarkEnd w:id="340"/>
    </w:p>
    <w:p w14:paraId="6C5FEF3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组成合同的各项文件应互相解释，互为说明。除专用合同条款另有约定外，解释合同文件的优先顺序如下：</w:t>
      </w:r>
    </w:p>
    <w:p w14:paraId="1FD888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w:t>
      </w:r>
    </w:p>
    <w:p w14:paraId="44EE341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5D12A73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DF97A4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（4）专用合同条款；</w:t>
      </w:r>
    </w:p>
    <w:p w14:paraId="50FC8C8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（5）通用合同条款；</w:t>
      </w:r>
    </w:p>
    <w:p w14:paraId="7913BCB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（6）技术标准和要求；</w:t>
      </w:r>
    </w:p>
    <w:p w14:paraId="62D4D35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（7）图纸；</w:t>
      </w:r>
    </w:p>
    <w:p w14:paraId="6B9A7A0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（8）已标价工程量清单；</w:t>
      </w:r>
    </w:p>
    <w:p w14:paraId="1B6726C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（9）其他合同文件。     </w:t>
      </w:r>
    </w:p>
    <w:p w14:paraId="2C7D66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1" w:name="_Toc29563"/>
      <w:bookmarkStart w:id="342" w:name="_Toc234832972"/>
      <w:bookmarkStart w:id="343" w:name="_Toc961"/>
      <w:bookmarkStart w:id="344" w:name="_Toc7240"/>
      <w:r>
        <w:rPr>
          <w:rFonts w:hint="default" w:ascii="Times New Roman" w:hAnsi="Times New Roman" w:eastAsia="黑体" w:cs="Times New Roman"/>
          <w:b w:val="0"/>
          <w:sz w:val="24"/>
          <w:szCs w:val="24"/>
          <w:highlight w:val="none"/>
        </w:rPr>
        <w:t>1.5 合同协议书</w:t>
      </w:r>
      <w:bookmarkEnd w:id="341"/>
      <w:bookmarkEnd w:id="342"/>
      <w:bookmarkEnd w:id="343"/>
      <w:bookmarkEnd w:id="344"/>
    </w:p>
    <w:p w14:paraId="456F6C6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96FFC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5" w:name="_Toc30819"/>
      <w:bookmarkStart w:id="346" w:name="_Toc234832973"/>
      <w:bookmarkStart w:id="347" w:name="_Toc27269"/>
      <w:bookmarkStart w:id="348" w:name="_Toc18684"/>
      <w:r>
        <w:rPr>
          <w:rFonts w:hint="default" w:ascii="Times New Roman" w:hAnsi="Times New Roman" w:eastAsia="黑体" w:cs="Times New Roman"/>
          <w:b w:val="0"/>
          <w:sz w:val="24"/>
          <w:szCs w:val="24"/>
          <w:highlight w:val="none"/>
        </w:rPr>
        <w:t>1.6 图纸和承包人文件</w:t>
      </w:r>
      <w:bookmarkEnd w:id="345"/>
      <w:bookmarkEnd w:id="346"/>
      <w:bookmarkEnd w:id="347"/>
      <w:bookmarkEnd w:id="348"/>
    </w:p>
    <w:p w14:paraId="728D5C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733042A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除专用合同条款另有约定外，图纸应在合理的期限内按照合同约定的数量提供给承包人。由于发包人未按时提供图纸造成工期延误的，按第11.3款的约定办理。</w:t>
      </w:r>
    </w:p>
    <w:p w14:paraId="5097B45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3D8CAF9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按专用合同条款约定由承包人提供的文件，包括部分工程的大样图、加工图等，承包人应按约定的数量和期限报送监理人。监理人应在专用合同条款约定的期限内批复。</w:t>
      </w:r>
    </w:p>
    <w:p w14:paraId="000BB5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1.6.3 </w:t>
      </w:r>
      <w:r>
        <w:rPr>
          <w:rFonts w:hint="default" w:ascii="Times New Roman" w:hAnsi="Times New Roman" w:eastAsia="黑体" w:cs="Times New Roman"/>
          <w:sz w:val="24"/>
          <w:highlight w:val="none"/>
        </w:rPr>
        <w:t>图纸的修改</w:t>
      </w:r>
    </w:p>
    <w:p w14:paraId="027EC51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EDDD6C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60C8FB7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承包人发现发包人提供的图纸存在明显错误或疏忽，应及时通知监理人。</w:t>
      </w:r>
    </w:p>
    <w:p w14:paraId="6BEAE78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1.6.5</w:t>
      </w:r>
      <w:r>
        <w:rPr>
          <w:rFonts w:hint="default" w:ascii="Times New Roman" w:hAnsi="Times New Roman" w:eastAsia="黑体" w:cs="Times New Roman"/>
          <w:sz w:val="24"/>
          <w:highlight w:val="none"/>
        </w:rPr>
        <w:t xml:space="preserve"> 图纸和承包人文件的保管</w:t>
      </w:r>
    </w:p>
    <w:p w14:paraId="070952B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监理人和承包人均应在施工场地各保存一套完整的包含第1.6.1项、第1.6.2项、第1.6.3项约定内容的图纸和承包人文件。</w:t>
      </w:r>
    </w:p>
    <w:p w14:paraId="1DD511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9" w:name="_Toc20305"/>
      <w:bookmarkStart w:id="350" w:name="_Toc234832974"/>
      <w:bookmarkStart w:id="351" w:name="_Toc3784"/>
      <w:bookmarkStart w:id="352" w:name="_Toc3785"/>
      <w:r>
        <w:rPr>
          <w:rFonts w:hint="default" w:ascii="Times New Roman" w:hAnsi="Times New Roman" w:eastAsia="黑体" w:cs="Times New Roman"/>
          <w:b w:val="0"/>
          <w:sz w:val="24"/>
          <w:szCs w:val="24"/>
          <w:highlight w:val="none"/>
        </w:rPr>
        <w:t>1.7 联络</w:t>
      </w:r>
      <w:bookmarkEnd w:id="349"/>
      <w:bookmarkEnd w:id="350"/>
      <w:bookmarkEnd w:id="351"/>
      <w:bookmarkEnd w:id="352"/>
    </w:p>
    <w:p w14:paraId="34E233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 与合同有关的通知、批准、证明、证书、指示、要求、请求、同意、意见、确定和决定等，均应采用书面形式。</w:t>
      </w:r>
    </w:p>
    <w:p w14:paraId="4DAAA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1.7.2 第1.7.1项中的通知、批准、证明、证书、指示、要求、请求、同意、意见、确定和决定等来往函件，均应在合同约定的期限内送达指定地点和接收人，并办理签收手续。</w:t>
      </w:r>
    </w:p>
    <w:p w14:paraId="3C819F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3" w:name="_Toc162"/>
      <w:bookmarkStart w:id="354" w:name="_Toc15118"/>
      <w:bookmarkStart w:id="355" w:name="_Toc234832975"/>
      <w:bookmarkStart w:id="356" w:name="_Toc13094"/>
      <w:r>
        <w:rPr>
          <w:rFonts w:hint="default" w:ascii="Times New Roman" w:hAnsi="Times New Roman" w:eastAsia="黑体" w:cs="Times New Roman"/>
          <w:b w:val="0"/>
          <w:sz w:val="24"/>
          <w:szCs w:val="24"/>
          <w:highlight w:val="none"/>
        </w:rPr>
        <w:t>1.8 转让</w:t>
      </w:r>
      <w:bookmarkEnd w:id="353"/>
      <w:bookmarkEnd w:id="354"/>
      <w:bookmarkEnd w:id="355"/>
      <w:bookmarkEnd w:id="356"/>
    </w:p>
    <w:p w14:paraId="432246A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除合同另有约定外，未经对方当事人同意，一方当事人不得将合同权利全部或部分转让给第三人，也不得全部或部分转移合同义务。</w:t>
      </w:r>
    </w:p>
    <w:p w14:paraId="74813D1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7" w:name="_Toc24262"/>
      <w:bookmarkStart w:id="358" w:name="_Toc6228"/>
      <w:bookmarkStart w:id="359" w:name="_Toc14631"/>
      <w:bookmarkStart w:id="360" w:name="_Toc234832976"/>
      <w:r>
        <w:rPr>
          <w:rFonts w:hint="default" w:ascii="Times New Roman" w:hAnsi="Times New Roman" w:eastAsia="黑体" w:cs="Times New Roman"/>
          <w:b w:val="0"/>
          <w:sz w:val="24"/>
          <w:szCs w:val="24"/>
          <w:highlight w:val="none"/>
        </w:rPr>
        <w:t>1.9 严禁贿赂</w:t>
      </w:r>
      <w:bookmarkEnd w:id="357"/>
      <w:bookmarkEnd w:id="358"/>
      <w:bookmarkEnd w:id="359"/>
      <w:bookmarkEnd w:id="360"/>
    </w:p>
    <w:p w14:paraId="73F8C5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合同双方当事人不得以贿赂或变相贿赂的方式，谋取不当利益或损害对方权益。因贿赂造成对方损失的，行为人应赔偿损失，并承担相应的法律责任。</w:t>
      </w:r>
    </w:p>
    <w:p w14:paraId="158311E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1" w:name="_Toc28929"/>
      <w:bookmarkStart w:id="362" w:name="_Toc3037"/>
      <w:bookmarkStart w:id="363" w:name="_Toc5924"/>
      <w:bookmarkStart w:id="364" w:name="_Toc234832977"/>
      <w:r>
        <w:rPr>
          <w:rFonts w:hint="default" w:ascii="Times New Roman" w:hAnsi="Times New Roman" w:eastAsia="黑体" w:cs="Times New Roman"/>
          <w:b w:val="0"/>
          <w:sz w:val="24"/>
          <w:szCs w:val="24"/>
          <w:highlight w:val="none"/>
        </w:rPr>
        <w:t>1.10 化石、文物</w:t>
      </w:r>
      <w:bookmarkEnd w:id="361"/>
      <w:bookmarkEnd w:id="362"/>
      <w:bookmarkEnd w:id="363"/>
      <w:bookmarkEnd w:id="364"/>
    </w:p>
    <w:p w14:paraId="2434E0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E803FE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1.10.2 承包人发现文物后不及时报告或隐瞒不报，致使文物丢失或损坏的，应赔偿损失，并承担相应的法律责任。</w:t>
      </w:r>
    </w:p>
    <w:p w14:paraId="0DB7197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5" w:name="_Toc24599"/>
      <w:bookmarkStart w:id="366" w:name="_Toc14824"/>
      <w:bookmarkStart w:id="367" w:name="_Toc234832978"/>
      <w:bookmarkStart w:id="368" w:name="_Toc7504"/>
      <w:r>
        <w:rPr>
          <w:rFonts w:hint="default" w:ascii="Times New Roman" w:hAnsi="Times New Roman" w:eastAsia="黑体" w:cs="Times New Roman"/>
          <w:b w:val="0"/>
          <w:sz w:val="24"/>
          <w:szCs w:val="24"/>
          <w:highlight w:val="none"/>
        </w:rPr>
        <w:t>1.11 专利技术</w:t>
      </w:r>
      <w:bookmarkEnd w:id="365"/>
      <w:bookmarkEnd w:id="366"/>
      <w:bookmarkEnd w:id="367"/>
      <w:bookmarkEnd w:id="368"/>
    </w:p>
    <w:p w14:paraId="7D14BB2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1.11.1 承包人在使用任何材料、承包人设备、工程设备或采用施工工艺时，因侵犯专利权或其他知识产权所引起的责任，由承包人承担，但由于遵照发包人提供的设计或技术标准和要求引起的除外。</w:t>
      </w:r>
    </w:p>
    <w:p w14:paraId="4422B6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承包人在投标文件中采用专利技术的，专利技术的使用费包含在投标报价内。</w:t>
      </w:r>
    </w:p>
    <w:p w14:paraId="20F0EF8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1.11.3 承包人的技术秘密和声明需要保密的资料和信息，发包人和监理人不得为合同以外的目的泄露给他人。</w:t>
      </w:r>
    </w:p>
    <w:p w14:paraId="6F9C02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9" w:name="_Toc234832979"/>
      <w:bookmarkStart w:id="370" w:name="_Toc29843"/>
      <w:bookmarkStart w:id="371" w:name="_Toc21941"/>
      <w:bookmarkStart w:id="372" w:name="_Toc963"/>
      <w:r>
        <w:rPr>
          <w:rFonts w:hint="default" w:ascii="Times New Roman" w:hAnsi="Times New Roman" w:eastAsia="黑体" w:cs="Times New Roman"/>
          <w:b w:val="0"/>
          <w:sz w:val="24"/>
          <w:szCs w:val="24"/>
          <w:highlight w:val="none"/>
        </w:rPr>
        <w:t>1.12 图纸和文件的保密</w:t>
      </w:r>
      <w:bookmarkEnd w:id="369"/>
      <w:bookmarkEnd w:id="370"/>
      <w:bookmarkEnd w:id="371"/>
      <w:bookmarkEnd w:id="372"/>
    </w:p>
    <w:p w14:paraId="5024F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1.12.1 发包人提供的图纸和文件，未经发包人同意，承包人不得为合同以外的目的泄露给他人或公开发表与引用。</w:t>
      </w:r>
    </w:p>
    <w:p w14:paraId="2804E6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1.12.2 承包人提供的文件，未经承包人同意，发包人和监理人不得为合同以外的目的泄露给他人或公开发表与引用。</w:t>
      </w:r>
    </w:p>
    <w:p w14:paraId="30C9DCC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373" w:name="_Toc234832980"/>
      <w:bookmarkStart w:id="374" w:name="_Toc2725"/>
      <w:bookmarkStart w:id="375" w:name="_Toc28964"/>
      <w:bookmarkStart w:id="376" w:name="_Toc1844"/>
      <w:r>
        <w:rPr>
          <w:rFonts w:hint="default" w:ascii="Times New Roman" w:hAnsi="Times New Roman" w:eastAsia="黑体" w:cs="Times New Roman"/>
          <w:b w:val="0"/>
          <w:sz w:val="28"/>
          <w:szCs w:val="28"/>
          <w:highlight w:val="none"/>
        </w:rPr>
        <w:t>2. 发包人义务</w:t>
      </w:r>
      <w:bookmarkEnd w:id="373"/>
      <w:bookmarkEnd w:id="374"/>
      <w:bookmarkEnd w:id="375"/>
      <w:bookmarkEnd w:id="376"/>
    </w:p>
    <w:p w14:paraId="083A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77" w:name="_Toc234832981"/>
      <w:bookmarkStart w:id="378" w:name="_Toc25606"/>
      <w:bookmarkStart w:id="379" w:name="_Toc9101"/>
      <w:bookmarkStart w:id="380" w:name="_Toc16373"/>
      <w:r>
        <w:rPr>
          <w:rFonts w:hint="default" w:ascii="Times New Roman" w:hAnsi="Times New Roman" w:eastAsia="黑体" w:cs="Times New Roman"/>
          <w:b w:val="0"/>
          <w:sz w:val="24"/>
          <w:szCs w:val="24"/>
          <w:highlight w:val="none"/>
        </w:rPr>
        <w:t>2.1 遵守法律</w:t>
      </w:r>
      <w:bookmarkEnd w:id="377"/>
      <w:bookmarkEnd w:id="378"/>
      <w:bookmarkEnd w:id="379"/>
      <w:bookmarkEnd w:id="380"/>
    </w:p>
    <w:p w14:paraId="1D221DE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发包人在履行合同过程中应遵守法律，并保证承包人免于承担因发包人违反法律而引起的任何责任。</w:t>
      </w:r>
    </w:p>
    <w:p w14:paraId="212C98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1" w:name="_Toc31599"/>
      <w:bookmarkStart w:id="382" w:name="_Toc19902"/>
      <w:bookmarkStart w:id="383" w:name="_Toc234832982"/>
      <w:bookmarkStart w:id="384" w:name="_Toc23081"/>
      <w:r>
        <w:rPr>
          <w:rFonts w:hint="default" w:ascii="Times New Roman" w:hAnsi="Times New Roman" w:eastAsia="黑体" w:cs="Times New Roman"/>
          <w:b w:val="0"/>
          <w:sz w:val="24"/>
          <w:szCs w:val="24"/>
          <w:highlight w:val="none"/>
        </w:rPr>
        <w:t>2.2 发出开工通知</w:t>
      </w:r>
      <w:bookmarkEnd w:id="381"/>
      <w:bookmarkEnd w:id="382"/>
      <w:bookmarkEnd w:id="383"/>
      <w:bookmarkEnd w:id="384"/>
    </w:p>
    <w:p w14:paraId="281C311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发包人应委托监理人按第11.1款的约定向承包人发出开工通知。</w:t>
      </w:r>
    </w:p>
    <w:p w14:paraId="6F8E87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5" w:name="_Toc12076"/>
      <w:bookmarkStart w:id="386" w:name="_Toc234832983"/>
      <w:bookmarkStart w:id="387" w:name="_Toc12327"/>
      <w:bookmarkStart w:id="388" w:name="_Toc31123"/>
      <w:r>
        <w:rPr>
          <w:rFonts w:hint="default" w:ascii="Times New Roman" w:hAnsi="Times New Roman" w:eastAsia="黑体" w:cs="Times New Roman"/>
          <w:b w:val="0"/>
          <w:sz w:val="24"/>
          <w:szCs w:val="24"/>
          <w:highlight w:val="none"/>
        </w:rPr>
        <w:t>2.3 提供施工场地</w:t>
      </w:r>
      <w:bookmarkEnd w:id="385"/>
      <w:bookmarkEnd w:id="386"/>
      <w:bookmarkEnd w:id="387"/>
      <w:bookmarkEnd w:id="388"/>
    </w:p>
    <w:p w14:paraId="0B7714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发包人应按专用合同条款约定向承包人提供施工场地，以及施工场地内地下管线和地下设施等有关资料，并保证资料的真实、准确、完整。</w:t>
      </w:r>
    </w:p>
    <w:p w14:paraId="0A1264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9" w:name="_Toc234832984"/>
      <w:bookmarkStart w:id="390" w:name="_Toc15886"/>
      <w:bookmarkStart w:id="391" w:name="_Toc24303"/>
      <w:bookmarkStart w:id="392" w:name="_Toc12372"/>
      <w:r>
        <w:rPr>
          <w:rFonts w:hint="default" w:ascii="Times New Roman" w:hAnsi="Times New Roman" w:eastAsia="黑体" w:cs="Times New Roman"/>
          <w:b w:val="0"/>
          <w:sz w:val="24"/>
          <w:szCs w:val="24"/>
          <w:highlight w:val="none"/>
        </w:rPr>
        <w:t>2.4 协助承包人办理证件和批件</w:t>
      </w:r>
      <w:bookmarkEnd w:id="389"/>
      <w:bookmarkEnd w:id="390"/>
      <w:bookmarkEnd w:id="391"/>
      <w:bookmarkEnd w:id="392"/>
    </w:p>
    <w:p w14:paraId="599B9F61">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发包人应协助承包人办理法律规定的有关施工证件和批件。</w:t>
      </w:r>
    </w:p>
    <w:p w14:paraId="0BE9B2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3" w:name="_Toc6781"/>
      <w:bookmarkStart w:id="394" w:name="_Toc234832985"/>
      <w:bookmarkStart w:id="395" w:name="_Toc2840"/>
      <w:bookmarkStart w:id="396" w:name="_Toc31489"/>
      <w:r>
        <w:rPr>
          <w:rFonts w:hint="default" w:ascii="Times New Roman" w:hAnsi="Times New Roman" w:eastAsia="黑体" w:cs="Times New Roman"/>
          <w:b w:val="0"/>
          <w:sz w:val="24"/>
          <w:szCs w:val="24"/>
          <w:highlight w:val="none"/>
        </w:rPr>
        <w:t>2.5 组织设计交底</w:t>
      </w:r>
      <w:bookmarkEnd w:id="393"/>
      <w:bookmarkEnd w:id="394"/>
      <w:bookmarkEnd w:id="395"/>
      <w:bookmarkEnd w:id="396"/>
    </w:p>
    <w:p w14:paraId="25CC55E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发包人应根据合同进度计划，组织设计单位向承包人进行设计交底。</w:t>
      </w:r>
    </w:p>
    <w:p w14:paraId="7ECE62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7" w:name="_Toc2788"/>
      <w:bookmarkStart w:id="398" w:name="_Toc15757"/>
      <w:bookmarkStart w:id="399" w:name="_Toc234832986"/>
      <w:bookmarkStart w:id="400" w:name="_Toc15709"/>
      <w:r>
        <w:rPr>
          <w:rFonts w:hint="default" w:ascii="Times New Roman" w:hAnsi="Times New Roman" w:eastAsia="黑体" w:cs="Times New Roman"/>
          <w:b w:val="0"/>
          <w:sz w:val="24"/>
          <w:szCs w:val="24"/>
          <w:highlight w:val="none"/>
        </w:rPr>
        <w:t>2.6 支付合同价款</w:t>
      </w:r>
      <w:bookmarkEnd w:id="397"/>
      <w:bookmarkEnd w:id="398"/>
      <w:bookmarkEnd w:id="399"/>
      <w:bookmarkEnd w:id="400"/>
    </w:p>
    <w:p w14:paraId="200EF5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发包人应按合同约定向承包人及时支付合同价款。</w:t>
      </w:r>
    </w:p>
    <w:p w14:paraId="02B930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1" w:name="_Toc22"/>
      <w:bookmarkStart w:id="402" w:name="_Toc1813"/>
      <w:bookmarkStart w:id="403" w:name="_Toc8246"/>
      <w:bookmarkStart w:id="404" w:name="_Toc234832987"/>
      <w:r>
        <w:rPr>
          <w:rFonts w:hint="default" w:ascii="Times New Roman" w:hAnsi="Times New Roman" w:eastAsia="黑体" w:cs="Times New Roman"/>
          <w:b w:val="0"/>
          <w:sz w:val="24"/>
          <w:szCs w:val="24"/>
          <w:highlight w:val="none"/>
        </w:rPr>
        <w:t>2.7 组织竣工验收</w:t>
      </w:r>
      <w:bookmarkEnd w:id="401"/>
      <w:bookmarkEnd w:id="402"/>
      <w:bookmarkEnd w:id="403"/>
      <w:bookmarkEnd w:id="404"/>
    </w:p>
    <w:p w14:paraId="66F90F7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发包人应按合同约定及时组织竣工验收。</w:t>
      </w:r>
    </w:p>
    <w:p w14:paraId="27D33F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5" w:name="_Toc28321"/>
      <w:bookmarkStart w:id="406" w:name="_Toc4891"/>
      <w:bookmarkStart w:id="407" w:name="_Toc234832988"/>
      <w:bookmarkStart w:id="408" w:name="_Toc16971"/>
      <w:r>
        <w:rPr>
          <w:rFonts w:hint="default" w:ascii="Times New Roman" w:hAnsi="Times New Roman" w:eastAsia="黑体" w:cs="Times New Roman"/>
          <w:b w:val="0"/>
          <w:sz w:val="24"/>
          <w:szCs w:val="24"/>
          <w:highlight w:val="none"/>
        </w:rPr>
        <w:t>2.8 其他义务</w:t>
      </w:r>
      <w:bookmarkEnd w:id="405"/>
      <w:bookmarkEnd w:id="406"/>
      <w:bookmarkEnd w:id="407"/>
      <w:bookmarkEnd w:id="408"/>
    </w:p>
    <w:p w14:paraId="56962E9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发包人应履行合同约定的其他义务。</w:t>
      </w:r>
    </w:p>
    <w:p w14:paraId="07C1CF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09" w:name="_Toc22971"/>
      <w:bookmarkStart w:id="410" w:name="_Toc234832989"/>
      <w:bookmarkStart w:id="411" w:name="_Toc11915"/>
      <w:bookmarkStart w:id="412" w:name="_Toc17017"/>
      <w:r>
        <w:rPr>
          <w:rFonts w:hint="default" w:ascii="Times New Roman" w:hAnsi="Times New Roman" w:eastAsia="黑体" w:cs="Times New Roman"/>
          <w:b w:val="0"/>
          <w:sz w:val="28"/>
          <w:szCs w:val="28"/>
          <w:highlight w:val="none"/>
        </w:rPr>
        <w:t>3. 监理人</w:t>
      </w:r>
      <w:bookmarkEnd w:id="409"/>
      <w:bookmarkEnd w:id="410"/>
      <w:bookmarkEnd w:id="411"/>
      <w:bookmarkEnd w:id="412"/>
    </w:p>
    <w:p w14:paraId="135030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3" w:name="_Toc25272"/>
      <w:bookmarkStart w:id="414" w:name="_Toc234832990"/>
      <w:bookmarkStart w:id="415" w:name="_Toc6610"/>
      <w:bookmarkStart w:id="416" w:name="_Toc16801"/>
      <w:r>
        <w:rPr>
          <w:rFonts w:hint="default" w:ascii="Times New Roman" w:hAnsi="Times New Roman" w:eastAsia="黑体" w:cs="Times New Roman"/>
          <w:b w:val="0"/>
          <w:sz w:val="24"/>
          <w:szCs w:val="24"/>
          <w:highlight w:val="none"/>
        </w:rPr>
        <w:t>3.1 监理人的职责和权力</w:t>
      </w:r>
      <w:bookmarkEnd w:id="413"/>
      <w:bookmarkEnd w:id="414"/>
      <w:bookmarkEnd w:id="415"/>
      <w:bookmarkEnd w:id="416"/>
      <w:r>
        <w:rPr>
          <w:rFonts w:hint="default" w:ascii="Times New Roman" w:hAnsi="Times New Roman" w:eastAsia="黑体" w:cs="Times New Roman"/>
          <w:b w:val="0"/>
          <w:sz w:val="24"/>
          <w:szCs w:val="24"/>
          <w:highlight w:val="none"/>
        </w:rPr>
        <w:t xml:space="preserve"> </w:t>
      </w:r>
    </w:p>
    <w:p w14:paraId="206BE5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3.1.1 监理人受发包人委托，享有合同约定的权力。监理人在行使某项权力前需要经发包人事先批准而通用合同条款没有指明的，应在专用合同条款中指明。</w:t>
      </w:r>
    </w:p>
    <w:p w14:paraId="29FA6C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3.1.2 监理人发出的任何指示应视为已得到发包人的批准，但监理人无权免除或变更合同约定的发包人和承包人的权利、义务和责任。</w:t>
      </w:r>
    </w:p>
    <w:p w14:paraId="5ACDF4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4EA5CE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7" w:name="_Toc4457"/>
      <w:bookmarkStart w:id="418" w:name="_Toc26"/>
      <w:bookmarkStart w:id="419" w:name="_Toc234832991"/>
      <w:bookmarkStart w:id="420" w:name="_Toc8960"/>
      <w:r>
        <w:rPr>
          <w:rFonts w:hint="default" w:ascii="Times New Roman" w:hAnsi="Times New Roman" w:eastAsia="黑体" w:cs="Times New Roman"/>
          <w:b w:val="0"/>
          <w:sz w:val="24"/>
          <w:szCs w:val="24"/>
          <w:highlight w:val="none"/>
        </w:rPr>
        <w:t>3.2 总监理工程师</w:t>
      </w:r>
      <w:bookmarkEnd w:id="417"/>
      <w:bookmarkEnd w:id="418"/>
      <w:bookmarkEnd w:id="419"/>
      <w:bookmarkEnd w:id="420"/>
    </w:p>
    <w:p w14:paraId="681F60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D3208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1" w:name="_Toc26577"/>
      <w:bookmarkStart w:id="422" w:name="_Toc2208"/>
      <w:bookmarkStart w:id="423" w:name="_Toc31044"/>
      <w:bookmarkStart w:id="424" w:name="_Toc234832992"/>
      <w:r>
        <w:rPr>
          <w:rFonts w:hint="default" w:ascii="Times New Roman" w:hAnsi="Times New Roman" w:eastAsia="黑体" w:cs="Times New Roman"/>
          <w:b w:val="0"/>
          <w:sz w:val="24"/>
          <w:szCs w:val="24"/>
          <w:highlight w:val="none"/>
        </w:rPr>
        <w:t>3.3 监理人员</w:t>
      </w:r>
      <w:bookmarkEnd w:id="421"/>
      <w:bookmarkEnd w:id="422"/>
      <w:bookmarkEnd w:id="423"/>
      <w:bookmarkEnd w:id="424"/>
    </w:p>
    <w:p w14:paraId="566EE8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E9D6F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6888F9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3.3.3 承包人对总监理工程师授权的监理人员发出的指示有疑问的，可向总监理工程师提出书面异议，总监理工程师应在48小时内对该指示予以确认、更改或撤销。</w:t>
      </w:r>
    </w:p>
    <w:p w14:paraId="451E2C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3.3.4 除专用合同条款另有约定外，总监理工程师不应将第3.5款约定应由总监理工程师作出确定的权力授权或委托给其他监理人员。</w:t>
      </w:r>
    </w:p>
    <w:p w14:paraId="7C9FD0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5" w:name="_Toc31668"/>
      <w:bookmarkStart w:id="426" w:name="_Toc234832993"/>
      <w:bookmarkStart w:id="427" w:name="_Toc30399"/>
      <w:bookmarkStart w:id="428" w:name="_Toc12482"/>
      <w:r>
        <w:rPr>
          <w:rFonts w:hint="default" w:ascii="Times New Roman" w:hAnsi="Times New Roman" w:eastAsia="黑体" w:cs="Times New Roman"/>
          <w:b w:val="0"/>
          <w:sz w:val="24"/>
          <w:szCs w:val="24"/>
          <w:highlight w:val="none"/>
        </w:rPr>
        <w:t>3.4 监理人的指示</w:t>
      </w:r>
      <w:bookmarkEnd w:id="425"/>
      <w:bookmarkEnd w:id="426"/>
      <w:bookmarkEnd w:id="427"/>
      <w:bookmarkEnd w:id="428"/>
    </w:p>
    <w:p w14:paraId="71FD4E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3.4.1 监理人应按第3.1款的约定向承包人发出指示，监理人的指示应盖有监理人授权的施工场地机构章，并由总监理工程师或总监理工程师按第3.3.1项约定授权的监理人员签字。</w:t>
      </w:r>
    </w:p>
    <w:p w14:paraId="688BA8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3.4.2 承包人收到监理人按第3.4.1项作出的指示后应遵照执行。指示构成变更的，应按第15条处理。</w:t>
      </w:r>
    </w:p>
    <w:p w14:paraId="22E33C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D9C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3.4.4 除合同另有约定外，承包人只从总监理工程师或按第3.3.1项被授权的监理人员处取得指示。</w:t>
      </w:r>
    </w:p>
    <w:p w14:paraId="5D144F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3.4.5 由于监理人未能按合同约定发出指示、指示延误或指示错误而导致承包人费用增加和（或）工期延误的，由发包人承担赔偿责任。 </w:t>
      </w:r>
    </w:p>
    <w:p w14:paraId="07BBEF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9" w:name="_Toc27797"/>
      <w:bookmarkStart w:id="430" w:name="_Toc234832994"/>
      <w:bookmarkStart w:id="431" w:name="_Toc13069"/>
      <w:bookmarkStart w:id="432" w:name="_Toc982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429"/>
      <w:bookmarkEnd w:id="430"/>
      <w:bookmarkEnd w:id="431"/>
      <w:bookmarkEnd w:id="432"/>
    </w:p>
    <w:p w14:paraId="27E258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3.5.1合同约定总监理工程师应按照本款对任何事项进行商定或确定时，总监理工程师应与合同当事人协商，尽量达成一致。不能达成一致的，总监理工程师应认真研究后审慎确定。</w:t>
      </w:r>
    </w:p>
    <w:p w14:paraId="31C5FF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3.5.2 总监理工程师应将商定或确定的事项通知合同当事人，并附详细依据。对总监理工程师的确定有异议的，</w:t>
      </w:r>
      <w:r>
        <w:rPr>
          <w:rFonts w:hint="default" w:ascii="Times New Roman" w:hAnsi="Times New Roman" w:cs="Times New Roman"/>
          <w:iCs/>
          <w:sz w:val="24"/>
          <w:highlight w:val="none"/>
        </w:rPr>
        <w:t>构成争议，</w:t>
      </w:r>
      <w:r>
        <w:rPr>
          <w:rFonts w:hint="default" w:ascii="Times New Roman" w:hAnsi="Times New Roman" w:cs="Times New Roman"/>
          <w:sz w:val="24"/>
          <w:highlight w:val="none"/>
        </w:rPr>
        <w:t>按照第24条的约定处理。在争议解决前，双方应暂按总监理工程师的确定执行，按照第24条的约定对总监理工程师的确定作出修改的，按修改后的结果执行。</w:t>
      </w:r>
    </w:p>
    <w:p w14:paraId="4C3EA628">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33" w:name="_Toc9721"/>
      <w:bookmarkStart w:id="434" w:name="_Toc1200"/>
      <w:bookmarkStart w:id="435" w:name="_Toc234832995"/>
      <w:bookmarkStart w:id="436" w:name="_Toc30028"/>
      <w:r>
        <w:rPr>
          <w:rFonts w:hint="default" w:ascii="Times New Roman" w:hAnsi="Times New Roman" w:eastAsia="黑体" w:cs="Times New Roman"/>
          <w:b w:val="0"/>
          <w:sz w:val="28"/>
          <w:szCs w:val="28"/>
          <w:highlight w:val="none"/>
        </w:rPr>
        <w:t>4. 承包人</w:t>
      </w:r>
      <w:bookmarkEnd w:id="433"/>
      <w:bookmarkEnd w:id="434"/>
      <w:bookmarkEnd w:id="435"/>
      <w:bookmarkEnd w:id="436"/>
    </w:p>
    <w:p w14:paraId="717F2D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37" w:name="_Toc25150"/>
      <w:bookmarkStart w:id="438" w:name="_Toc234832996"/>
      <w:bookmarkStart w:id="439" w:name="_Toc21919"/>
      <w:bookmarkStart w:id="440" w:name="_Toc16953"/>
      <w:r>
        <w:rPr>
          <w:rFonts w:hint="default" w:ascii="Times New Roman" w:hAnsi="Times New Roman" w:eastAsia="黑体" w:cs="Times New Roman"/>
          <w:b w:val="0"/>
          <w:sz w:val="24"/>
          <w:szCs w:val="24"/>
          <w:highlight w:val="none"/>
        </w:rPr>
        <w:t>4.1 承包人的一般义务</w:t>
      </w:r>
      <w:bookmarkEnd w:id="437"/>
      <w:bookmarkEnd w:id="438"/>
      <w:bookmarkEnd w:id="439"/>
      <w:bookmarkEnd w:id="440"/>
    </w:p>
    <w:p w14:paraId="0A35F344">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4.1.1 </w:t>
      </w:r>
      <w:r>
        <w:rPr>
          <w:rFonts w:hint="default" w:ascii="Times New Roman" w:hAnsi="Times New Roman" w:eastAsia="黑体" w:cs="Times New Roman"/>
          <w:sz w:val="24"/>
          <w:highlight w:val="none"/>
        </w:rPr>
        <w:t>遵守法律</w:t>
      </w:r>
    </w:p>
    <w:p w14:paraId="7055260C">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承包人在履行合同过程中应遵守法律，并保证发包人免于承担因承包人违反法律而引起的任何责任。</w:t>
      </w:r>
    </w:p>
    <w:p w14:paraId="43D24EE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4.1.2 </w:t>
      </w:r>
      <w:r>
        <w:rPr>
          <w:rFonts w:hint="default" w:ascii="Times New Roman" w:hAnsi="Times New Roman" w:eastAsia="黑体" w:cs="Times New Roman"/>
          <w:sz w:val="24"/>
          <w:highlight w:val="none"/>
        </w:rPr>
        <w:t>依法纳税</w:t>
      </w:r>
    </w:p>
    <w:p w14:paraId="7680EA9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承包人应按有关法律规定纳税，应缴纳的税金包括在合同价格内。</w:t>
      </w:r>
    </w:p>
    <w:p w14:paraId="08EBDD1B">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4.1.3 </w:t>
      </w:r>
      <w:r>
        <w:rPr>
          <w:rFonts w:hint="default" w:ascii="Times New Roman" w:hAnsi="Times New Roman" w:eastAsia="黑体" w:cs="Times New Roman"/>
          <w:sz w:val="24"/>
          <w:highlight w:val="none"/>
        </w:rPr>
        <w:t>完成各项承包工作</w:t>
      </w:r>
    </w:p>
    <w:p w14:paraId="6F06FC37">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4442CB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eastAsia="黑体" w:cs="Times New Roman"/>
          <w:sz w:val="24"/>
          <w:highlight w:val="none"/>
        </w:rPr>
        <w:t>4.1.4 对施工作业和施工方法的完备性负责</w:t>
      </w:r>
    </w:p>
    <w:p w14:paraId="04D22DA3">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承包人应按合同约定的工作内容和施工进度要求，编制施工组织设计和施工措施计划，并对所有施工作业和施工方法的完备性和安全可靠性负责。</w:t>
      </w:r>
    </w:p>
    <w:p w14:paraId="5FC40B8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4.1.5</w:t>
      </w:r>
      <w:r>
        <w:rPr>
          <w:rFonts w:hint="default" w:ascii="Times New Roman" w:hAnsi="Times New Roman" w:eastAsia="黑体" w:cs="Times New Roman"/>
          <w:sz w:val="24"/>
          <w:highlight w:val="none"/>
        </w:rPr>
        <w:t xml:space="preserve"> 保证工程施工和人员的安全</w:t>
      </w:r>
    </w:p>
    <w:p w14:paraId="2A91948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承包人应按第9.2款约定采取施工安全措施，确保工程及其人员、材料、设备和设施的安全，防止因工程施工造成的人身伤害和财产损失。</w:t>
      </w:r>
    </w:p>
    <w:p w14:paraId="1CE618C4">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4.1.6 </w:t>
      </w:r>
      <w:r>
        <w:rPr>
          <w:rFonts w:hint="default" w:ascii="Times New Roman" w:hAnsi="Times New Roman" w:eastAsia="黑体" w:cs="Times New Roman"/>
          <w:sz w:val="24"/>
          <w:highlight w:val="none"/>
        </w:rPr>
        <w:t>负责施工场地及其周边环境与生态的保护工作</w:t>
      </w:r>
    </w:p>
    <w:p w14:paraId="17B0BD8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承包人应按照第9.4款约定负责施工场地及其周边环境与生态的保护工作。</w:t>
      </w:r>
    </w:p>
    <w:p w14:paraId="01D35F30">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4.1.7 </w:t>
      </w:r>
      <w:r>
        <w:rPr>
          <w:rFonts w:hint="default" w:ascii="Times New Roman" w:hAnsi="Times New Roman" w:eastAsia="黑体" w:cs="Times New Roman"/>
          <w:sz w:val="24"/>
          <w:highlight w:val="none"/>
        </w:rPr>
        <w:t>避免施工对公众与他人的利益造成损害</w:t>
      </w:r>
    </w:p>
    <w:p w14:paraId="0151DB69">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384A7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4.1.8 </w:t>
      </w:r>
      <w:r>
        <w:rPr>
          <w:rFonts w:hint="default" w:ascii="Times New Roman" w:hAnsi="Times New Roman" w:eastAsia="黑体" w:cs="Times New Roman"/>
          <w:sz w:val="24"/>
          <w:highlight w:val="none"/>
        </w:rPr>
        <w:t>为他人提供方便</w:t>
      </w:r>
    </w:p>
    <w:p w14:paraId="78C1607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F4D9FB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工程的维护和照管</w:t>
      </w:r>
    </w:p>
    <w:p w14:paraId="59D725F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4DC3BEFC">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0F3F839D">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承包人应履行合同约定的其他义务。</w:t>
      </w:r>
    </w:p>
    <w:p w14:paraId="1F98739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1" w:name="_Toc30774"/>
      <w:bookmarkStart w:id="442" w:name="_Toc3711"/>
      <w:bookmarkStart w:id="443" w:name="_Toc234832997"/>
      <w:bookmarkStart w:id="444" w:name="_Toc2984"/>
      <w:r>
        <w:rPr>
          <w:rFonts w:hint="default" w:ascii="Times New Roman" w:hAnsi="Times New Roman" w:eastAsia="黑体" w:cs="Times New Roman"/>
          <w:b w:val="0"/>
          <w:sz w:val="24"/>
          <w:szCs w:val="24"/>
          <w:highlight w:val="none"/>
        </w:rPr>
        <w:t>4.2 履约担保</w:t>
      </w:r>
      <w:bookmarkEnd w:id="441"/>
      <w:bookmarkEnd w:id="442"/>
      <w:bookmarkEnd w:id="443"/>
      <w:bookmarkEnd w:id="444"/>
    </w:p>
    <w:p w14:paraId="0F8A77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承包人应保证其履约担保在发包人颁发工程接收证书前一直有效。发包人应在工程接收证书颁发后28天内把履约担保退还给承包人。</w:t>
      </w:r>
    </w:p>
    <w:p w14:paraId="518EE73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5" w:name="_Toc17914"/>
      <w:bookmarkStart w:id="446" w:name="_Toc1459"/>
      <w:bookmarkStart w:id="447" w:name="_Toc234832998"/>
      <w:bookmarkStart w:id="448" w:name="_Toc8478"/>
      <w:r>
        <w:rPr>
          <w:rFonts w:hint="default" w:ascii="Times New Roman" w:hAnsi="Times New Roman" w:eastAsia="黑体" w:cs="Times New Roman"/>
          <w:b w:val="0"/>
          <w:sz w:val="24"/>
          <w:szCs w:val="24"/>
          <w:highlight w:val="none"/>
        </w:rPr>
        <w:t>4.3 分包</w:t>
      </w:r>
      <w:bookmarkEnd w:id="445"/>
      <w:bookmarkEnd w:id="446"/>
      <w:bookmarkEnd w:id="447"/>
      <w:bookmarkEnd w:id="448"/>
    </w:p>
    <w:p w14:paraId="47F0FAD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4.3.1 承包人不得将其承包的全部工程转包给第三人，或将其承包的全部工程肢解后以分包的名义转包给第三人。</w:t>
      </w:r>
    </w:p>
    <w:p w14:paraId="40F1F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承包人不得将工程主体、关键性工作分包给第三人。除专用合同条款另有约定外，未经发包人同意，承包人不得将工程的其他部分或工作分包给第三人。</w:t>
      </w:r>
    </w:p>
    <w:p w14:paraId="4D31A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4.3.3分包人的资格能力应与其分包工程的标准和规模相适应。</w:t>
      </w:r>
    </w:p>
    <w:p w14:paraId="339E2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4.3.4按投标函附录约定分包工程的，承包人应向发包人和监理人提交分包合同副本。</w:t>
      </w:r>
    </w:p>
    <w:p w14:paraId="35BAEA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4.3.5承包人应与分包人就分包工程向发包人承担连带责任。</w:t>
      </w:r>
    </w:p>
    <w:p w14:paraId="57ECADD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9" w:name="_Toc32164"/>
      <w:bookmarkStart w:id="450" w:name="_Toc24889"/>
      <w:bookmarkStart w:id="451" w:name="_Toc3204"/>
      <w:bookmarkStart w:id="452" w:name="_Toc234832999"/>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449"/>
      <w:bookmarkEnd w:id="450"/>
      <w:bookmarkEnd w:id="451"/>
      <w:bookmarkEnd w:id="452"/>
    </w:p>
    <w:p w14:paraId="676545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4.4.1 联合体各方应共同与发包人签订合同协议书。联合体各方应为履行合同承担连带责任。</w:t>
      </w:r>
    </w:p>
    <w:p w14:paraId="07B3D4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4.4.2 </w:t>
      </w:r>
      <w:r>
        <w:rPr>
          <w:rFonts w:hint="default" w:ascii="Times New Roman" w:hAnsi="Times New Roman" w:cs="Times New Roman"/>
          <w:iCs/>
          <w:sz w:val="24"/>
          <w:highlight w:val="none"/>
        </w:rPr>
        <w:t>联合体协议经发包人确认后作为合同附件。</w:t>
      </w:r>
      <w:r>
        <w:rPr>
          <w:rFonts w:hint="default" w:ascii="Times New Roman" w:hAnsi="Times New Roman" w:cs="Times New Roman"/>
          <w:sz w:val="24"/>
          <w:highlight w:val="none"/>
        </w:rPr>
        <w:t>在履行合同过程中，未经发包人同意，不得修改联合体协议。</w:t>
      </w:r>
    </w:p>
    <w:p w14:paraId="6712F9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4.4.3 联合体牵头人负责与发包人和监理人联系，并接受指示，负责组织联合体各成员全面履行合同。</w:t>
      </w:r>
    </w:p>
    <w:p w14:paraId="794FB3F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3" w:name="_Toc29702"/>
      <w:bookmarkStart w:id="454" w:name="_Toc612"/>
      <w:bookmarkStart w:id="455" w:name="_Toc234833000"/>
      <w:bookmarkStart w:id="456" w:name="_Toc19688"/>
      <w:r>
        <w:rPr>
          <w:rFonts w:hint="default" w:ascii="Times New Roman" w:hAnsi="Times New Roman" w:eastAsia="黑体" w:cs="Times New Roman"/>
          <w:b w:val="0"/>
          <w:sz w:val="24"/>
          <w:szCs w:val="24"/>
          <w:highlight w:val="none"/>
        </w:rPr>
        <w:t>4.5 承包人项目经理</w:t>
      </w:r>
      <w:bookmarkEnd w:id="453"/>
      <w:bookmarkEnd w:id="454"/>
      <w:bookmarkEnd w:id="455"/>
      <w:bookmarkEnd w:id="456"/>
    </w:p>
    <w:p w14:paraId="0EE649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35C59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9B4D5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4.5.3承包人为履行合同发出的一切函件均应盖有承包人授权的施工场地管理机构章，并由承包人项目经理或其授权代表签字。</w:t>
      </w:r>
    </w:p>
    <w:p w14:paraId="5F09C2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4.5.4 承包人项目经理可以授权其下属人员履行其某项职责，但事先应将这些人员的姓名和授权范围通知监理人。</w:t>
      </w:r>
    </w:p>
    <w:p w14:paraId="3B767C8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7" w:name="_Toc234833001"/>
      <w:bookmarkStart w:id="458" w:name="_Toc4512"/>
      <w:bookmarkStart w:id="459" w:name="_Toc30705"/>
      <w:bookmarkStart w:id="460" w:name="_Toc32486"/>
      <w:r>
        <w:rPr>
          <w:rFonts w:hint="default" w:ascii="Times New Roman" w:hAnsi="Times New Roman" w:eastAsia="黑体" w:cs="Times New Roman"/>
          <w:b w:val="0"/>
          <w:sz w:val="24"/>
          <w:szCs w:val="24"/>
          <w:highlight w:val="none"/>
        </w:rPr>
        <w:t>4.6 承包人人员的管理</w:t>
      </w:r>
      <w:bookmarkEnd w:id="457"/>
      <w:bookmarkEnd w:id="458"/>
      <w:bookmarkEnd w:id="459"/>
      <w:bookmarkEnd w:id="460"/>
    </w:p>
    <w:p w14:paraId="7A04BC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7267F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4.6.2 为完成合同约定的各项工作，承包人应向施工场地派遣或雇佣足够数量的下列人员：</w:t>
      </w:r>
    </w:p>
    <w:p w14:paraId="7FFB3CD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（1）具有相应资格的专业技工和合格的普工；</w:t>
      </w:r>
    </w:p>
    <w:p w14:paraId="5580761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（2）具有相应施工经验的技术人员；</w:t>
      </w:r>
    </w:p>
    <w:p w14:paraId="10063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（3）具有相应岗位资格的各级管理人员。</w:t>
      </w:r>
    </w:p>
    <w:p w14:paraId="418247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4.6.3 承包人安排在施工场地的主要管理人员和技术骨干应相对稳定。承包人更换主要管理人员和技术骨干时，应取得监理人的同意。</w:t>
      </w:r>
    </w:p>
    <w:p w14:paraId="120282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4.6.4 特殊岗位的工作人员均应持有相应的资格证明，监理人有权随时检查。监理人认为有必要时，可进行现场考核。</w:t>
      </w:r>
    </w:p>
    <w:p w14:paraId="7126900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1" w:name="_Toc16860"/>
      <w:bookmarkStart w:id="462" w:name="_Toc29162"/>
      <w:bookmarkStart w:id="463" w:name="_Toc234833002"/>
      <w:bookmarkStart w:id="464" w:name="_Toc4750"/>
      <w:r>
        <w:rPr>
          <w:rFonts w:hint="default" w:ascii="Times New Roman" w:hAnsi="Times New Roman" w:eastAsia="黑体" w:cs="Times New Roman"/>
          <w:b w:val="0"/>
          <w:sz w:val="24"/>
          <w:szCs w:val="24"/>
          <w:highlight w:val="none"/>
        </w:rPr>
        <w:t>4.7 撤换承包人项目经理和其他人员</w:t>
      </w:r>
      <w:bookmarkEnd w:id="461"/>
      <w:bookmarkEnd w:id="462"/>
      <w:bookmarkEnd w:id="463"/>
      <w:bookmarkEnd w:id="464"/>
    </w:p>
    <w:p w14:paraId="115D5A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w:t>
      </w:r>
    </w:p>
    <w:p w14:paraId="67D81B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5" w:name="_Toc514"/>
      <w:bookmarkStart w:id="466" w:name="_Toc234833003"/>
      <w:bookmarkStart w:id="467" w:name="_Toc5844"/>
      <w:bookmarkStart w:id="468" w:name="_Toc32087"/>
      <w:r>
        <w:rPr>
          <w:rFonts w:hint="default" w:ascii="Times New Roman" w:hAnsi="Times New Roman" w:eastAsia="黑体" w:cs="Times New Roman"/>
          <w:b w:val="0"/>
          <w:sz w:val="24"/>
          <w:szCs w:val="24"/>
          <w:highlight w:val="none"/>
        </w:rPr>
        <w:t>4.8 保障承包人人员的合法权益</w:t>
      </w:r>
      <w:bookmarkEnd w:id="465"/>
      <w:bookmarkEnd w:id="466"/>
      <w:bookmarkEnd w:id="467"/>
      <w:bookmarkEnd w:id="468"/>
    </w:p>
    <w:p w14:paraId="4EE661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4.8.1 承包人应与其雇佣的人员签订劳动合同，并按时发放工资。</w:t>
      </w:r>
    </w:p>
    <w:p w14:paraId="5DA0BF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44B8B4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4.8.3 承包人应为其雇佣人员提供必要的食宿条件，以及符合环境保护和卫生要求的生活环境，在远离城镇的施工场地，还应配备必要的伤病防治和急救的医务人员与医疗设施。</w:t>
      </w:r>
    </w:p>
    <w:p w14:paraId="73A4C4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B56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4.8.5 承包人应按有关法律规定和合同约定，为其雇佣人员办理保险。</w:t>
      </w:r>
    </w:p>
    <w:p w14:paraId="1A1809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4.8.6 承包人应负责处理其雇佣人员因工伤亡事故的善后事宜。</w:t>
      </w:r>
    </w:p>
    <w:p w14:paraId="05F607F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9" w:name="_Toc27171"/>
      <w:bookmarkStart w:id="470" w:name="_Toc1107"/>
      <w:bookmarkStart w:id="471" w:name="_Toc234833004"/>
      <w:bookmarkStart w:id="472" w:name="_Toc25388"/>
      <w:r>
        <w:rPr>
          <w:rFonts w:hint="default" w:ascii="Times New Roman" w:hAnsi="Times New Roman" w:eastAsia="黑体" w:cs="Times New Roman"/>
          <w:b w:val="0"/>
          <w:sz w:val="24"/>
          <w:szCs w:val="24"/>
          <w:highlight w:val="none"/>
        </w:rPr>
        <w:t>4.9 工程价款应专款专用</w:t>
      </w:r>
      <w:bookmarkEnd w:id="469"/>
      <w:bookmarkEnd w:id="470"/>
      <w:bookmarkEnd w:id="471"/>
      <w:bookmarkEnd w:id="472"/>
    </w:p>
    <w:p w14:paraId="19983F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发包人按合同约定支付给承包人的各项价款应专用于合同工程。</w:t>
      </w:r>
    </w:p>
    <w:p w14:paraId="6DE9C8A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3" w:name="_Toc25811"/>
      <w:bookmarkStart w:id="474" w:name="_Toc31884"/>
      <w:bookmarkStart w:id="475" w:name="_Toc234833005"/>
      <w:bookmarkStart w:id="476" w:name="_Toc28976"/>
      <w:r>
        <w:rPr>
          <w:rFonts w:hint="default" w:ascii="Times New Roman" w:hAnsi="Times New Roman" w:eastAsia="黑体" w:cs="Times New Roman"/>
          <w:b w:val="0"/>
          <w:sz w:val="24"/>
          <w:szCs w:val="24"/>
          <w:highlight w:val="none"/>
        </w:rPr>
        <w:t>4.10 承包人现场查勘</w:t>
      </w:r>
      <w:bookmarkEnd w:id="473"/>
      <w:bookmarkEnd w:id="474"/>
      <w:bookmarkEnd w:id="475"/>
      <w:bookmarkEnd w:id="476"/>
      <w:r>
        <w:rPr>
          <w:rFonts w:hint="default" w:ascii="Times New Roman" w:hAnsi="Times New Roman" w:eastAsia="黑体" w:cs="Times New Roman"/>
          <w:b w:val="0"/>
          <w:sz w:val="24"/>
          <w:szCs w:val="24"/>
          <w:highlight w:val="none"/>
        </w:rPr>
        <w:t xml:space="preserve">    </w:t>
      </w:r>
    </w:p>
    <w:p w14:paraId="7926BB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4.10.1 发包人应将其持有的现场地质勘探资料、水文气象资料提供给承包人，并对其准确性负责。但承包人应对其阅读上述有关资料后所作出的解释和推断负责。</w:t>
      </w:r>
    </w:p>
    <w:p w14:paraId="03016B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5B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7" w:name="_Toc234833006"/>
      <w:bookmarkStart w:id="478" w:name="_Toc22403"/>
      <w:bookmarkStart w:id="479" w:name="_Toc9021"/>
      <w:bookmarkStart w:id="480" w:name="_Toc17320"/>
      <w:r>
        <w:rPr>
          <w:rFonts w:hint="default" w:ascii="Times New Roman" w:hAnsi="Times New Roman" w:eastAsia="黑体" w:cs="Times New Roman"/>
          <w:b w:val="0"/>
          <w:sz w:val="24"/>
          <w:szCs w:val="24"/>
          <w:highlight w:val="none"/>
        </w:rPr>
        <w:t>4.11 不利物质条件</w:t>
      </w:r>
      <w:bookmarkEnd w:id="477"/>
      <w:bookmarkEnd w:id="478"/>
      <w:bookmarkEnd w:id="479"/>
      <w:bookmarkEnd w:id="480"/>
    </w:p>
    <w:p w14:paraId="3F2384F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4.11.1不利物质条件，除专用合同条款另有约定外，是指承包人在施工场地遇到的不可预见的自然物质条件、非自然的物质障碍和污染物，包括地下和水文条件，但不包括气候条件。</w:t>
      </w:r>
    </w:p>
    <w:p w14:paraId="6503CBC8">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6EDA7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81" w:name="_Toc17106"/>
      <w:bookmarkStart w:id="482" w:name="_Toc25496"/>
      <w:bookmarkStart w:id="483" w:name="_Toc31309"/>
      <w:bookmarkStart w:id="484" w:name="_Toc234833007"/>
      <w:r>
        <w:rPr>
          <w:rFonts w:hint="default" w:ascii="Times New Roman" w:hAnsi="Times New Roman" w:eastAsia="黑体" w:cs="Times New Roman"/>
          <w:b w:val="0"/>
          <w:sz w:val="28"/>
          <w:szCs w:val="28"/>
          <w:highlight w:val="none"/>
        </w:rPr>
        <w:t>5. 材料和工程设备</w:t>
      </w:r>
      <w:bookmarkEnd w:id="481"/>
      <w:bookmarkEnd w:id="482"/>
      <w:bookmarkEnd w:id="483"/>
      <w:bookmarkEnd w:id="484"/>
    </w:p>
    <w:p w14:paraId="77CE7B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5" w:name="_Toc20835"/>
      <w:bookmarkStart w:id="486" w:name="_Toc4914"/>
      <w:bookmarkStart w:id="487" w:name="_Toc234833008"/>
      <w:bookmarkStart w:id="488" w:name="_Toc15376"/>
      <w:r>
        <w:rPr>
          <w:rFonts w:hint="default" w:ascii="Times New Roman" w:hAnsi="Times New Roman" w:eastAsia="黑体" w:cs="Times New Roman"/>
          <w:b w:val="0"/>
          <w:sz w:val="24"/>
          <w:szCs w:val="24"/>
          <w:highlight w:val="none"/>
        </w:rPr>
        <w:t>5.1 承包人提供的材料和工程设备</w:t>
      </w:r>
      <w:bookmarkEnd w:id="485"/>
      <w:bookmarkEnd w:id="486"/>
      <w:bookmarkEnd w:id="487"/>
      <w:bookmarkEnd w:id="488"/>
    </w:p>
    <w:p w14:paraId="016CB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5.1.1 除专用合同条款另有约定外，承包人提供的材料和工程设备均由承包人负责采购、运输和保管。承包人应对其采购的材料和工程设备负责。</w:t>
      </w:r>
    </w:p>
    <w:p w14:paraId="03079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5.1.2 承包人应按专用合同条款的约定，将各项材料和工程设备的供货人及品种、规格、数量和供货时间等报送监理人审批。承包人应向监理</w:t>
      </w:r>
      <w:r>
        <w:rPr>
          <w:rFonts w:hint="default" w:ascii="Times New Roman" w:hAnsi="Times New Roman" w:cs="Times New Roman"/>
          <w:iCs/>
          <w:sz w:val="24"/>
          <w:highlight w:val="none"/>
        </w:rPr>
        <w:t>人</w:t>
      </w:r>
      <w:r>
        <w:rPr>
          <w:rFonts w:hint="default" w:ascii="Times New Roman" w:hAnsi="Times New Roman" w:cs="Times New Roman"/>
          <w:sz w:val="24"/>
          <w:highlight w:val="none"/>
        </w:rPr>
        <w:t>提交其负责提供的材料和工程设备的质量证明文件，并满足合同约定的质量标准。</w:t>
      </w:r>
    </w:p>
    <w:p w14:paraId="7DE4A7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493A4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9" w:name="_Toc234833009"/>
      <w:bookmarkStart w:id="490" w:name="_Toc26834"/>
      <w:bookmarkStart w:id="491" w:name="_Toc5584"/>
      <w:bookmarkStart w:id="492" w:name="_Toc1587"/>
      <w:r>
        <w:rPr>
          <w:rFonts w:hint="default" w:ascii="Times New Roman" w:hAnsi="Times New Roman" w:eastAsia="黑体" w:cs="Times New Roman"/>
          <w:b w:val="0"/>
          <w:sz w:val="24"/>
          <w:szCs w:val="24"/>
          <w:highlight w:val="none"/>
        </w:rPr>
        <w:t>5.2 发包人提供的材料和工程设备</w:t>
      </w:r>
      <w:bookmarkEnd w:id="489"/>
      <w:bookmarkEnd w:id="490"/>
      <w:bookmarkEnd w:id="491"/>
      <w:bookmarkEnd w:id="492"/>
    </w:p>
    <w:p w14:paraId="61108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5.2.1 发包人提供的材料和工程设备，应在专用合同条款中写明材料和工程设备的名称、规格、数量、价格、交货方式、交货地点和计划交货日期等。</w:t>
      </w:r>
    </w:p>
    <w:p w14:paraId="13BAB34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5.2.2 承包人应根据合同进度计划的安排，向监理人报送要求发包人交货的日期计划。发包人应按照监理人与合同双方当事人</w:t>
      </w:r>
      <w:r>
        <w:rPr>
          <w:rFonts w:hint="default" w:ascii="Times New Roman" w:hAnsi="Times New Roman" w:cs="Times New Roman"/>
          <w:iCs/>
          <w:sz w:val="24"/>
          <w:highlight w:val="none"/>
        </w:rPr>
        <w:t>商定</w:t>
      </w:r>
      <w:r>
        <w:rPr>
          <w:rFonts w:hint="default" w:ascii="Times New Roman" w:hAnsi="Times New Roman" w:cs="Times New Roman"/>
          <w:sz w:val="24"/>
          <w:highlight w:val="none"/>
        </w:rPr>
        <w:t>的交货日期，向承包人提交材料和工程设备。</w:t>
      </w:r>
    </w:p>
    <w:p w14:paraId="576772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0A41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5.2.4 发包人要求向承包人提前交货的，承包人不得拒绝，但发包人应承担承包人由此增加的费用。 </w:t>
      </w:r>
    </w:p>
    <w:p w14:paraId="37045E0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5.2.5 承包人要求更改交货日期或地点的，应事先报请监理人批准。由于承包人要求更改交货时间或地点所增加的费用和（或）工期延误由承包人承担。 </w:t>
      </w:r>
    </w:p>
    <w:p w14:paraId="75BDC67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29BA3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93" w:name="_Toc31513"/>
      <w:bookmarkStart w:id="494" w:name="_Toc3308"/>
      <w:bookmarkStart w:id="495" w:name="_Toc234833010"/>
      <w:bookmarkStart w:id="496" w:name="_Toc23205"/>
      <w:r>
        <w:rPr>
          <w:rFonts w:hint="default" w:ascii="Times New Roman" w:hAnsi="Times New Roman" w:eastAsia="黑体" w:cs="Times New Roman"/>
          <w:b w:val="0"/>
          <w:sz w:val="24"/>
          <w:szCs w:val="24"/>
          <w:highlight w:val="none"/>
        </w:rPr>
        <w:t>5.3 材料和工程设备专用于合同工程</w:t>
      </w:r>
      <w:bookmarkEnd w:id="493"/>
      <w:bookmarkEnd w:id="494"/>
      <w:bookmarkEnd w:id="495"/>
      <w:bookmarkEnd w:id="496"/>
    </w:p>
    <w:p w14:paraId="062E90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5.3.1运入施工场地的材料、工程设备，包括备品备件、安装专用工器具与随机资料，必须专用于合同工程，未经监理人同意，承包人不得运出施工场地或挪作他用。</w:t>
      </w:r>
    </w:p>
    <w:p w14:paraId="78CAC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76074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97" w:name="_Toc28304"/>
      <w:bookmarkStart w:id="498" w:name="_Toc25420"/>
      <w:bookmarkStart w:id="499" w:name="_Toc234833011"/>
      <w:bookmarkStart w:id="500" w:name="_Toc30003"/>
      <w:r>
        <w:rPr>
          <w:rFonts w:hint="default" w:ascii="Times New Roman" w:hAnsi="Times New Roman" w:eastAsia="黑体" w:cs="Times New Roman"/>
          <w:b w:val="0"/>
          <w:sz w:val="24"/>
          <w:szCs w:val="24"/>
          <w:highlight w:val="none"/>
        </w:rPr>
        <w:t>5.4 禁止使用不合格的材料和工程设备</w:t>
      </w:r>
      <w:bookmarkEnd w:id="497"/>
      <w:bookmarkEnd w:id="498"/>
      <w:bookmarkEnd w:id="499"/>
      <w:bookmarkEnd w:id="500"/>
      <w:r>
        <w:rPr>
          <w:rFonts w:hint="default" w:ascii="Times New Roman" w:hAnsi="Times New Roman" w:eastAsia="黑体" w:cs="Times New Roman"/>
          <w:b w:val="0"/>
          <w:sz w:val="24"/>
          <w:szCs w:val="24"/>
          <w:highlight w:val="none"/>
        </w:rPr>
        <w:t xml:space="preserve"> </w:t>
      </w:r>
    </w:p>
    <w:p w14:paraId="7FE585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5.4.1 监理人有权拒绝承包人提供的不合格材料或工程设备，并要求承包人立即进行更换。监理人应在更换后再次进行检查和检验，由此增加的费用和（或）工期延误由承包人承担。</w:t>
      </w:r>
    </w:p>
    <w:p w14:paraId="5F243E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5.4.2 监理人发现承包人使用了不合格的材料和工程设备，应即时发出指示要求承包人立即改正，并禁止在工程中继续使用不合格的材料和工程设备。</w:t>
      </w:r>
    </w:p>
    <w:p w14:paraId="3D4B1D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5.4.3 发包人提供的材料或工程设备不符合合同要求的，承包人有权拒绝，并可要求发包人更换，由此增加的费用和（或）工期延误由发包人承担。</w:t>
      </w:r>
    </w:p>
    <w:p w14:paraId="58B5DB9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01" w:name="_Toc19538"/>
      <w:bookmarkStart w:id="502" w:name="_Toc31096"/>
      <w:bookmarkStart w:id="503" w:name="_Toc17211"/>
      <w:bookmarkStart w:id="504" w:name="_Toc234833012"/>
      <w:r>
        <w:rPr>
          <w:rFonts w:hint="default" w:ascii="Times New Roman" w:hAnsi="Times New Roman" w:eastAsia="黑体" w:cs="Times New Roman"/>
          <w:b w:val="0"/>
          <w:sz w:val="28"/>
          <w:szCs w:val="28"/>
          <w:highlight w:val="none"/>
        </w:rPr>
        <w:t>6. 施工设备和临时设施</w:t>
      </w:r>
      <w:bookmarkEnd w:id="501"/>
      <w:bookmarkEnd w:id="502"/>
      <w:bookmarkEnd w:id="503"/>
      <w:bookmarkEnd w:id="504"/>
      <w:r>
        <w:rPr>
          <w:rFonts w:hint="default" w:ascii="Times New Roman" w:hAnsi="Times New Roman" w:eastAsia="黑体" w:cs="Times New Roman"/>
          <w:b w:val="0"/>
          <w:sz w:val="28"/>
          <w:szCs w:val="28"/>
          <w:highlight w:val="none"/>
        </w:rPr>
        <w:t xml:space="preserve"> </w:t>
      </w:r>
    </w:p>
    <w:p w14:paraId="535443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5" w:name="_Toc4093"/>
      <w:bookmarkStart w:id="506" w:name="_Toc234833013"/>
      <w:bookmarkStart w:id="507" w:name="_Toc12035"/>
      <w:bookmarkStart w:id="508" w:name="_Toc15430"/>
      <w:r>
        <w:rPr>
          <w:rFonts w:hint="default" w:ascii="Times New Roman" w:hAnsi="Times New Roman" w:eastAsia="黑体" w:cs="Times New Roman"/>
          <w:b w:val="0"/>
          <w:sz w:val="24"/>
          <w:szCs w:val="24"/>
          <w:highlight w:val="none"/>
        </w:rPr>
        <w:t>6.1 承包人提供的施工设备和临时设施</w:t>
      </w:r>
      <w:bookmarkEnd w:id="505"/>
      <w:bookmarkEnd w:id="506"/>
      <w:bookmarkEnd w:id="507"/>
      <w:bookmarkEnd w:id="508"/>
    </w:p>
    <w:p w14:paraId="503326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2ACBC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6.1.2 除专用合同条款另有约定外，承包人应自行承担修建临时设施的费用，需要临时占地的，应由发包人办理申请手续并承担相应费用。</w:t>
      </w:r>
    </w:p>
    <w:p w14:paraId="507A228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9" w:name="_Toc234833014"/>
      <w:bookmarkStart w:id="510" w:name="_Toc25302"/>
      <w:bookmarkStart w:id="511" w:name="_Toc31129"/>
      <w:bookmarkStart w:id="512" w:name="_Toc20219"/>
      <w:r>
        <w:rPr>
          <w:rFonts w:hint="default" w:ascii="Times New Roman" w:hAnsi="Times New Roman" w:eastAsia="黑体" w:cs="Times New Roman"/>
          <w:b w:val="0"/>
          <w:sz w:val="24"/>
          <w:szCs w:val="24"/>
          <w:highlight w:val="none"/>
        </w:rPr>
        <w:t>6.2 发包人提供的施工设备和临时设施</w:t>
      </w:r>
      <w:bookmarkEnd w:id="509"/>
      <w:bookmarkEnd w:id="510"/>
      <w:bookmarkEnd w:id="511"/>
      <w:bookmarkEnd w:id="512"/>
    </w:p>
    <w:p w14:paraId="7BDCD8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发包人提供的施工设备或临时设施在专用合同条款中约定。</w:t>
      </w:r>
    </w:p>
    <w:p w14:paraId="6B6CF7D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13" w:name="_Toc7691"/>
      <w:bookmarkStart w:id="514" w:name="_Toc234833015"/>
      <w:bookmarkStart w:id="515" w:name="_Toc26083"/>
      <w:bookmarkStart w:id="516" w:name="_Toc13422"/>
      <w:r>
        <w:rPr>
          <w:rFonts w:hint="default" w:ascii="Times New Roman" w:hAnsi="Times New Roman" w:eastAsia="黑体" w:cs="Times New Roman"/>
          <w:b w:val="0"/>
          <w:sz w:val="24"/>
          <w:szCs w:val="24"/>
          <w:highlight w:val="none"/>
        </w:rPr>
        <w:t>6.3 要求承包人增加或更换施工设备</w:t>
      </w:r>
      <w:bookmarkEnd w:id="513"/>
      <w:bookmarkEnd w:id="514"/>
      <w:bookmarkEnd w:id="515"/>
      <w:bookmarkEnd w:id="516"/>
    </w:p>
    <w:p w14:paraId="0688F1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3DAA99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17" w:name="_Toc20359"/>
      <w:bookmarkStart w:id="518" w:name="_Toc234833016"/>
      <w:bookmarkStart w:id="519" w:name="_Toc13599"/>
      <w:bookmarkStart w:id="520" w:name="_Toc24204"/>
      <w:r>
        <w:rPr>
          <w:rFonts w:hint="default" w:ascii="Times New Roman" w:hAnsi="Times New Roman" w:eastAsia="黑体" w:cs="Times New Roman"/>
          <w:b w:val="0"/>
          <w:sz w:val="24"/>
          <w:szCs w:val="24"/>
          <w:highlight w:val="none"/>
        </w:rPr>
        <w:t>6.4 施工设备和临时设施专用于合同工程</w:t>
      </w:r>
      <w:bookmarkEnd w:id="517"/>
      <w:bookmarkEnd w:id="518"/>
      <w:bookmarkEnd w:id="519"/>
      <w:bookmarkEnd w:id="520"/>
    </w:p>
    <w:p w14:paraId="72F605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23749A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6.4.2 经监理人同意，承包人可根据合同进度计划撤走闲置的施工设备。</w:t>
      </w:r>
    </w:p>
    <w:p w14:paraId="2A5BBF12">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21" w:name="_Toc7239"/>
      <w:bookmarkStart w:id="522" w:name="_Toc234833017"/>
      <w:bookmarkStart w:id="523" w:name="_Toc7342"/>
      <w:bookmarkStart w:id="524" w:name="_Toc30527"/>
      <w:r>
        <w:rPr>
          <w:rFonts w:hint="default" w:ascii="Times New Roman" w:hAnsi="Times New Roman" w:eastAsia="黑体" w:cs="Times New Roman"/>
          <w:b w:val="0"/>
          <w:sz w:val="28"/>
          <w:szCs w:val="28"/>
          <w:highlight w:val="none"/>
        </w:rPr>
        <w:t>7. 交通运输</w:t>
      </w:r>
      <w:bookmarkEnd w:id="521"/>
      <w:bookmarkEnd w:id="522"/>
      <w:bookmarkEnd w:id="523"/>
      <w:bookmarkEnd w:id="524"/>
      <w:r>
        <w:rPr>
          <w:rFonts w:hint="default" w:ascii="Times New Roman" w:hAnsi="Times New Roman" w:eastAsia="黑体" w:cs="Times New Roman"/>
          <w:b w:val="0"/>
          <w:sz w:val="28"/>
          <w:szCs w:val="28"/>
          <w:highlight w:val="none"/>
        </w:rPr>
        <w:t xml:space="preserve"> </w:t>
      </w:r>
    </w:p>
    <w:p w14:paraId="6BD9BDF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5" w:name="_Toc13492"/>
      <w:bookmarkStart w:id="526" w:name="_Toc6489"/>
      <w:bookmarkStart w:id="527" w:name="_Toc2798"/>
      <w:bookmarkStart w:id="528" w:name="_Toc234833018"/>
      <w:r>
        <w:rPr>
          <w:rFonts w:hint="default" w:ascii="Times New Roman" w:hAnsi="Times New Roman" w:eastAsia="黑体" w:cs="Times New Roman"/>
          <w:b w:val="0"/>
          <w:sz w:val="24"/>
          <w:szCs w:val="24"/>
          <w:highlight w:val="none"/>
        </w:rPr>
        <w:t>7.1 道路通行权和场外设施</w:t>
      </w:r>
      <w:bookmarkEnd w:id="525"/>
      <w:bookmarkEnd w:id="526"/>
      <w:bookmarkEnd w:id="527"/>
      <w:bookmarkEnd w:id="528"/>
    </w:p>
    <w:p w14:paraId="06DFE3CC">
      <w:pPr>
        <w:pageBreakBefore w:val="0"/>
        <w:kinsoku/>
        <w:wordWrap w:val="0"/>
        <w:bidi w:val="0"/>
        <w:spacing w:line="400" w:lineRule="atLeast"/>
        <w:ind w:firstLine="420"/>
        <w:rPr>
          <w:rFonts w:hint="default" w:ascii="Times New Roman" w:hAnsi="Times New Roman" w:cs="Times New Roman"/>
          <w:i/>
          <w:sz w:val="24"/>
          <w:highlight w:val="none"/>
        </w:rPr>
      </w:pPr>
      <w:r>
        <w:rPr>
          <w:rFonts w:hint="default" w:ascii="Times New Roman" w:hAnsi="Times New Roman" w:cs="Times New Roman"/>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E70DE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9" w:name="_Toc9056"/>
      <w:bookmarkStart w:id="530" w:name="_Toc9049"/>
      <w:bookmarkStart w:id="531" w:name="_Toc16282"/>
      <w:bookmarkStart w:id="532" w:name="_Toc234833019"/>
      <w:r>
        <w:rPr>
          <w:rFonts w:hint="default" w:ascii="Times New Roman" w:hAnsi="Times New Roman" w:eastAsia="黑体" w:cs="Times New Roman"/>
          <w:b w:val="0"/>
          <w:sz w:val="24"/>
          <w:szCs w:val="24"/>
          <w:highlight w:val="none"/>
        </w:rPr>
        <w:t>7.2 场内施工道路</w:t>
      </w:r>
      <w:bookmarkEnd w:id="529"/>
      <w:bookmarkEnd w:id="530"/>
      <w:bookmarkEnd w:id="531"/>
      <w:bookmarkEnd w:id="532"/>
    </w:p>
    <w:p w14:paraId="0632AE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7.2.1 除专用合同条款另有约定外，承包人应负责修建、维修、养护和管理施工所需的临时道路和交通设施，包括维修、养护和管理发包人提供的道路和交通设施，并承担相应费用。</w:t>
      </w:r>
    </w:p>
    <w:p w14:paraId="716F24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7.2.2 除专用合同条款另有约定外，承包人修建的临时道路和交通设施应免费提供发包人和监理人使用。</w:t>
      </w:r>
    </w:p>
    <w:p w14:paraId="30BD591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33" w:name="_Toc1860"/>
      <w:bookmarkStart w:id="534" w:name="_Toc31425"/>
      <w:bookmarkStart w:id="535" w:name="_Toc234833020"/>
      <w:bookmarkStart w:id="536" w:name="_Toc16389"/>
      <w:r>
        <w:rPr>
          <w:rFonts w:hint="default" w:ascii="Times New Roman" w:hAnsi="Times New Roman" w:eastAsia="黑体" w:cs="Times New Roman"/>
          <w:b w:val="0"/>
          <w:sz w:val="24"/>
          <w:szCs w:val="24"/>
          <w:highlight w:val="none"/>
        </w:rPr>
        <w:t>7.3 场外交通</w:t>
      </w:r>
      <w:bookmarkEnd w:id="533"/>
      <w:bookmarkEnd w:id="534"/>
      <w:bookmarkEnd w:id="535"/>
      <w:bookmarkEnd w:id="536"/>
    </w:p>
    <w:p w14:paraId="4A63AF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7.3.1 承包人车辆外出行驶所需的场外公共道路的通行费、养路费和税款等由承包人承担。</w:t>
      </w:r>
    </w:p>
    <w:p w14:paraId="2C6BA7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7.3.2 承包人应遵守有关交通法规，严格按照道路和桥梁的限制荷重安全行驶，并服从交通管理部门的检查和监督。</w:t>
      </w:r>
    </w:p>
    <w:p w14:paraId="1DD1D89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37" w:name="_Toc234833021"/>
      <w:bookmarkStart w:id="538" w:name="_Toc16025"/>
      <w:bookmarkStart w:id="539" w:name="_Toc8355"/>
      <w:bookmarkStart w:id="540" w:name="_Toc29695"/>
      <w:r>
        <w:rPr>
          <w:rFonts w:hint="default" w:ascii="Times New Roman" w:hAnsi="Times New Roman" w:eastAsia="黑体" w:cs="Times New Roman"/>
          <w:b w:val="0"/>
          <w:sz w:val="24"/>
          <w:szCs w:val="24"/>
          <w:highlight w:val="none"/>
        </w:rPr>
        <w:t>7.4 超大件和超重件的运输</w:t>
      </w:r>
      <w:bookmarkEnd w:id="537"/>
      <w:bookmarkEnd w:id="538"/>
      <w:bookmarkEnd w:id="539"/>
      <w:bookmarkEnd w:id="540"/>
    </w:p>
    <w:p w14:paraId="4CE4AB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E296FA">
      <w:pPr>
        <w:pageBreakBefore w:val="0"/>
        <w:kinsoku/>
        <w:wordWrap w:val="0"/>
        <w:bidi w:val="0"/>
        <w:spacing w:line="400" w:lineRule="atLeast"/>
        <w:rPr>
          <w:rFonts w:hint="default" w:ascii="Times New Roman" w:hAnsi="Times New Roman" w:cs="Times New Roman"/>
          <w:sz w:val="24"/>
          <w:highlight w:val="none"/>
        </w:rPr>
      </w:pPr>
    </w:p>
    <w:p w14:paraId="403F9C6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1" w:name="_Toc30531"/>
      <w:bookmarkStart w:id="542" w:name="_Toc9627"/>
      <w:bookmarkStart w:id="543" w:name="_Toc18208"/>
      <w:bookmarkStart w:id="544" w:name="_Toc234833022"/>
      <w:r>
        <w:rPr>
          <w:rFonts w:hint="default" w:ascii="Times New Roman" w:hAnsi="Times New Roman" w:eastAsia="黑体" w:cs="Times New Roman"/>
          <w:b w:val="0"/>
          <w:sz w:val="24"/>
          <w:szCs w:val="24"/>
          <w:highlight w:val="none"/>
        </w:rPr>
        <w:t>7.5 道路和桥梁的损坏责任</w:t>
      </w:r>
      <w:bookmarkEnd w:id="541"/>
      <w:bookmarkEnd w:id="542"/>
      <w:bookmarkEnd w:id="543"/>
      <w:bookmarkEnd w:id="544"/>
    </w:p>
    <w:p w14:paraId="080C33B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因承包人运输造成施工场地内外公共道路和桥梁损坏的，由承包人承担修复损坏的全部费用和可能引起的赔偿。</w:t>
      </w:r>
    </w:p>
    <w:p w14:paraId="50C5114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5" w:name="_Toc9650"/>
      <w:bookmarkStart w:id="546" w:name="_Toc23109"/>
      <w:bookmarkStart w:id="547" w:name="_Toc234833023"/>
      <w:bookmarkStart w:id="548" w:name="_Toc28879"/>
      <w:r>
        <w:rPr>
          <w:rFonts w:hint="default" w:ascii="Times New Roman" w:hAnsi="Times New Roman" w:eastAsia="黑体" w:cs="Times New Roman"/>
          <w:b w:val="0"/>
          <w:sz w:val="24"/>
          <w:szCs w:val="24"/>
          <w:highlight w:val="none"/>
        </w:rPr>
        <w:t>7.6 水路和航空运输</w:t>
      </w:r>
      <w:bookmarkEnd w:id="545"/>
      <w:bookmarkEnd w:id="546"/>
      <w:bookmarkEnd w:id="547"/>
      <w:bookmarkEnd w:id="548"/>
    </w:p>
    <w:p w14:paraId="1D310FD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本条上述各款的内容适用于水路运输和航空运输，其中</w:t>
      </w:r>
      <w:r>
        <w:rPr>
          <w:rFonts w:hint="eastAsia" w:ascii="宋体" w:hAnsi="宋体" w:eastAsia="宋体" w:cs="宋体"/>
          <w:sz w:val="24"/>
          <w:highlight w:val="none"/>
        </w:rPr>
        <w:t>“</w:t>
      </w:r>
      <w:r>
        <w:rPr>
          <w:rFonts w:hint="default" w:ascii="Times New Roman" w:hAnsi="Times New Roman" w:cs="Times New Roman"/>
          <w:sz w:val="24"/>
          <w:highlight w:val="none"/>
        </w:rPr>
        <w:t>道路</w:t>
      </w:r>
      <w:r>
        <w:rPr>
          <w:rFonts w:hint="eastAsia" w:ascii="宋体" w:hAnsi="宋体" w:eastAsia="宋体" w:cs="宋体"/>
          <w:sz w:val="24"/>
          <w:highlight w:val="none"/>
        </w:rPr>
        <w:t>”</w:t>
      </w:r>
      <w:r>
        <w:rPr>
          <w:rFonts w:hint="default" w:ascii="Times New Roman" w:hAnsi="Times New Roman" w:cs="Times New Roman"/>
          <w:sz w:val="24"/>
          <w:highlight w:val="none"/>
        </w:rPr>
        <w:t>一词的涵义包括河道、航线、船闸、机场、码头、堤防以及水路或航空运输中其他相似结构物；</w:t>
      </w:r>
      <w:r>
        <w:rPr>
          <w:rFonts w:hint="eastAsia" w:ascii="宋体" w:hAnsi="宋体" w:eastAsia="宋体" w:cs="宋体"/>
          <w:sz w:val="24"/>
          <w:highlight w:val="none"/>
        </w:rPr>
        <w:t>“</w:t>
      </w:r>
      <w:r>
        <w:rPr>
          <w:rFonts w:hint="default" w:ascii="Times New Roman" w:hAnsi="Times New Roman" w:cs="Times New Roman"/>
          <w:sz w:val="24"/>
          <w:highlight w:val="none"/>
        </w:rPr>
        <w:t>车辆</w:t>
      </w:r>
      <w:r>
        <w:rPr>
          <w:rFonts w:hint="eastAsia" w:ascii="宋体" w:hAnsi="宋体" w:eastAsia="宋体" w:cs="宋体"/>
          <w:sz w:val="24"/>
          <w:highlight w:val="none"/>
        </w:rPr>
        <w:t>”</w:t>
      </w:r>
      <w:r>
        <w:rPr>
          <w:rFonts w:hint="default" w:ascii="Times New Roman" w:hAnsi="Times New Roman" w:cs="Times New Roman"/>
          <w:sz w:val="24"/>
          <w:highlight w:val="none"/>
        </w:rPr>
        <w:t xml:space="preserve">一词的涵义包括船舶和飞机等。 </w:t>
      </w:r>
    </w:p>
    <w:p w14:paraId="6260FC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49" w:name="_Toc24534"/>
      <w:bookmarkStart w:id="550" w:name="_Toc234833024"/>
      <w:bookmarkStart w:id="551" w:name="_Toc19372"/>
      <w:bookmarkStart w:id="552" w:name="_Toc32126"/>
      <w:r>
        <w:rPr>
          <w:rFonts w:hint="default" w:ascii="Times New Roman" w:hAnsi="Times New Roman" w:eastAsia="黑体" w:cs="Times New Roman"/>
          <w:b w:val="0"/>
          <w:sz w:val="28"/>
          <w:szCs w:val="28"/>
          <w:highlight w:val="none"/>
        </w:rPr>
        <w:t>8. 测量放线</w:t>
      </w:r>
      <w:bookmarkEnd w:id="549"/>
      <w:bookmarkEnd w:id="550"/>
      <w:bookmarkEnd w:id="551"/>
      <w:bookmarkEnd w:id="552"/>
    </w:p>
    <w:p w14:paraId="64832FA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3" w:name="_Toc234833025"/>
      <w:bookmarkStart w:id="554" w:name="_Toc22188"/>
      <w:bookmarkStart w:id="555" w:name="_Toc22172"/>
      <w:bookmarkStart w:id="556" w:name="_Toc9189"/>
      <w:r>
        <w:rPr>
          <w:rFonts w:hint="default" w:ascii="Times New Roman" w:hAnsi="Times New Roman" w:eastAsia="黑体" w:cs="Times New Roman"/>
          <w:b w:val="0"/>
          <w:sz w:val="24"/>
          <w:szCs w:val="24"/>
          <w:highlight w:val="none"/>
        </w:rPr>
        <w:t>8.1 施工控制网</w:t>
      </w:r>
      <w:bookmarkEnd w:id="553"/>
      <w:bookmarkEnd w:id="554"/>
      <w:bookmarkEnd w:id="555"/>
      <w:bookmarkEnd w:id="556"/>
    </w:p>
    <w:p w14:paraId="702AA0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D87E6F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8.1.2承包人应负责管理施工控制网点。施工控制网点丢失或损坏的，承包人应及时修复。承包人应承担施工控制网点的管理与修复费用，并在工程竣工后将施工控制网点移交发包人。</w:t>
      </w:r>
    </w:p>
    <w:p w14:paraId="181C8E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7" w:name="_Toc234833026"/>
      <w:bookmarkStart w:id="558" w:name="_Toc14368"/>
      <w:bookmarkStart w:id="559" w:name="_Toc25309"/>
      <w:bookmarkStart w:id="560" w:name="_Toc17769"/>
      <w:r>
        <w:rPr>
          <w:rFonts w:hint="default" w:ascii="Times New Roman" w:hAnsi="Times New Roman" w:eastAsia="黑体" w:cs="Times New Roman"/>
          <w:b w:val="0"/>
          <w:sz w:val="24"/>
          <w:szCs w:val="24"/>
          <w:highlight w:val="none"/>
        </w:rPr>
        <w:t>8.2 施工测量</w:t>
      </w:r>
      <w:bookmarkEnd w:id="557"/>
      <w:bookmarkEnd w:id="558"/>
      <w:bookmarkEnd w:id="559"/>
      <w:bookmarkEnd w:id="560"/>
    </w:p>
    <w:p w14:paraId="2AE555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8.2.1承包人应负责施工过程中的全部施工测量放线工作，并配置合格的人员、仪器、设备和其他物品。</w:t>
      </w:r>
    </w:p>
    <w:p w14:paraId="09D6F81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8.2.2监理人可以指示承包人进行抽样复测，当复测中发现错误或出现超过合同约定的误差时，承包人应按监理人指示进行修正或补测，并承担相应的复测费用。</w:t>
      </w:r>
    </w:p>
    <w:p w14:paraId="400B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1" w:name="_Toc30617"/>
      <w:bookmarkStart w:id="562" w:name="_Toc19638"/>
      <w:bookmarkStart w:id="563" w:name="_Toc234833027"/>
      <w:bookmarkStart w:id="564" w:name="_Toc10297"/>
      <w:r>
        <w:rPr>
          <w:rFonts w:hint="default" w:ascii="Times New Roman" w:hAnsi="Times New Roman" w:eastAsia="黑体" w:cs="Times New Roman"/>
          <w:b w:val="0"/>
          <w:sz w:val="24"/>
          <w:szCs w:val="24"/>
          <w:highlight w:val="none"/>
        </w:rPr>
        <w:t>8.3 基准资料错误的责任</w:t>
      </w:r>
      <w:bookmarkEnd w:id="561"/>
      <w:bookmarkEnd w:id="562"/>
      <w:bookmarkEnd w:id="563"/>
      <w:bookmarkEnd w:id="564"/>
    </w:p>
    <w:p w14:paraId="57A9481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B7AF68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5" w:name="_Toc15727"/>
      <w:bookmarkStart w:id="566" w:name="_Toc1487"/>
      <w:bookmarkStart w:id="567" w:name="_Toc9294"/>
      <w:bookmarkStart w:id="568" w:name="_Toc234833028"/>
      <w:r>
        <w:rPr>
          <w:rFonts w:hint="default" w:ascii="Times New Roman" w:hAnsi="Times New Roman" w:eastAsia="黑体" w:cs="Times New Roman"/>
          <w:b w:val="0"/>
          <w:sz w:val="24"/>
          <w:szCs w:val="24"/>
          <w:highlight w:val="none"/>
        </w:rPr>
        <w:t>8.4 监理人使用施工控制网</w:t>
      </w:r>
      <w:bookmarkEnd w:id="565"/>
      <w:bookmarkEnd w:id="566"/>
      <w:bookmarkEnd w:id="567"/>
      <w:bookmarkEnd w:id="568"/>
    </w:p>
    <w:p w14:paraId="32B2FC1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监理人需要使用施工控制网的，承包人应提供必要的协助，发包人不再为此支付费用。</w:t>
      </w:r>
    </w:p>
    <w:p w14:paraId="2648D3E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69" w:name="_Toc234833029"/>
      <w:bookmarkStart w:id="570" w:name="_Toc23788"/>
      <w:bookmarkStart w:id="571" w:name="_Toc1730"/>
      <w:bookmarkStart w:id="572" w:name="_Toc3624"/>
      <w:r>
        <w:rPr>
          <w:rFonts w:hint="default" w:ascii="Times New Roman" w:hAnsi="Times New Roman" w:eastAsia="黑体" w:cs="Times New Roman"/>
          <w:b w:val="0"/>
          <w:sz w:val="28"/>
          <w:szCs w:val="28"/>
          <w:highlight w:val="none"/>
        </w:rPr>
        <w:t>9. 施工安全、治安保卫和环境保护</w:t>
      </w:r>
      <w:bookmarkEnd w:id="569"/>
      <w:bookmarkEnd w:id="570"/>
      <w:bookmarkEnd w:id="571"/>
      <w:bookmarkEnd w:id="572"/>
    </w:p>
    <w:p w14:paraId="3F54FAB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3" w:name="_Toc20223"/>
      <w:bookmarkStart w:id="574" w:name="_Toc3769"/>
      <w:bookmarkStart w:id="575" w:name="_Toc234833030"/>
      <w:bookmarkStart w:id="576" w:name="_Toc13970"/>
      <w:r>
        <w:rPr>
          <w:rFonts w:hint="default" w:ascii="Times New Roman" w:hAnsi="Times New Roman" w:eastAsia="黑体" w:cs="Times New Roman"/>
          <w:b w:val="0"/>
          <w:sz w:val="24"/>
          <w:szCs w:val="24"/>
          <w:highlight w:val="none"/>
        </w:rPr>
        <w:t>9.1 发包人的施工安全责任</w:t>
      </w:r>
      <w:bookmarkEnd w:id="573"/>
      <w:bookmarkEnd w:id="574"/>
      <w:bookmarkEnd w:id="575"/>
      <w:bookmarkEnd w:id="576"/>
    </w:p>
    <w:p w14:paraId="41DCF27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9.1.1发包人应按合同约定履行安全职责，授权监理人按合同约定的安全工作内容监督、检查承包人安全工作的实施，组织承包人和有关单位进行安全检查。</w:t>
      </w:r>
    </w:p>
    <w:p w14:paraId="54CB22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9.1.2发包人应对其现场机构雇佣的全部人员的工伤事故承担责任，但由于承包人原因造成发包人人员工伤的，应由承包人承担责任。</w:t>
      </w:r>
    </w:p>
    <w:p w14:paraId="0828C5E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9.1.3发包人应负责赔偿以下各种情况造成的第三者人身伤亡和财产损失：</w:t>
      </w:r>
    </w:p>
    <w:p w14:paraId="031F64A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（1）工程或工程的任何部分对土地的占用所造成的第三者财产损失；</w:t>
      </w:r>
    </w:p>
    <w:p w14:paraId="6D7473A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（2）由于发包人原因在施工场地及其毗邻地带造成的第三者人身伤亡和财产损失。</w:t>
      </w:r>
    </w:p>
    <w:p w14:paraId="324AC2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7" w:name="_Toc26218"/>
      <w:bookmarkStart w:id="578" w:name="_Toc6666"/>
      <w:bookmarkStart w:id="579" w:name="_Toc234833031"/>
      <w:bookmarkStart w:id="580" w:name="_Toc3730"/>
      <w:r>
        <w:rPr>
          <w:rFonts w:hint="default" w:ascii="Times New Roman" w:hAnsi="Times New Roman" w:eastAsia="黑体" w:cs="Times New Roman"/>
          <w:b w:val="0"/>
          <w:sz w:val="24"/>
          <w:szCs w:val="24"/>
          <w:highlight w:val="none"/>
        </w:rPr>
        <w:t>9.2 承包人的施工安全责任</w:t>
      </w:r>
      <w:bookmarkEnd w:id="577"/>
      <w:bookmarkEnd w:id="578"/>
      <w:bookmarkEnd w:id="579"/>
      <w:bookmarkEnd w:id="580"/>
    </w:p>
    <w:p w14:paraId="6838D2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3F49B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9.2.2 承包人应加强施工作业安全管理，特别应加强易燃、易爆材料、火工器材、有毒与腐蚀性材料和其他危险品的管理，以及对爆破作业和地下工程施工等危险作业的管理。</w:t>
      </w:r>
    </w:p>
    <w:p w14:paraId="0E981A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9.2.3 承包人应严格按照国家安全标准制定施工安全操作规程，配备必要的安全生产和劳动保护设施，加强对承包人人员的安全教育，并发放安全工作手册和劳动保护用具。</w:t>
      </w:r>
    </w:p>
    <w:p w14:paraId="30EBFDA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6FC830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0E93A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9.2.6 承包人应对其履行合同所雇佣的全部人员，包括分包人人员的工伤事故承担责任，但由于发包人原因造成承包人人员工伤事故的，应由发包人承担责任。</w:t>
      </w:r>
    </w:p>
    <w:p w14:paraId="311095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9.2.7 由于承包人原因在施工场地内及其毗邻地带造成的第三者人员伤亡和财产损失，由承包人负责赔偿。</w:t>
      </w:r>
    </w:p>
    <w:p w14:paraId="5B21E28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1" w:name="_Toc24377"/>
      <w:bookmarkStart w:id="582" w:name="_Toc28053"/>
      <w:bookmarkStart w:id="583" w:name="_Toc31111"/>
      <w:bookmarkStart w:id="584" w:name="_Toc234833032"/>
      <w:r>
        <w:rPr>
          <w:rFonts w:hint="default" w:ascii="Times New Roman" w:hAnsi="Times New Roman" w:eastAsia="黑体" w:cs="Times New Roman"/>
          <w:b w:val="0"/>
          <w:sz w:val="24"/>
          <w:szCs w:val="24"/>
          <w:highlight w:val="none"/>
        </w:rPr>
        <w:t>9.3 治安保卫</w:t>
      </w:r>
      <w:bookmarkEnd w:id="581"/>
      <w:bookmarkEnd w:id="582"/>
      <w:bookmarkEnd w:id="583"/>
      <w:bookmarkEnd w:id="584"/>
    </w:p>
    <w:p w14:paraId="6DF5AF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9.3.1 除合同另有约定外，发包人应与当地公安部门协商，在现场建立治安管理机构或联防组织，统一管理施工场地的治安保卫事项，履行合同工程的治安保卫职责。</w:t>
      </w:r>
    </w:p>
    <w:p w14:paraId="294ED4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9.3.2 发包人和承包人除应协助现场治安管理机构或联防组织维护施工场地的社会治安外，还应做好包括生活区在内的各自管辖区的治安保卫工作。</w:t>
      </w:r>
    </w:p>
    <w:p w14:paraId="58423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5D815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5" w:name="_Toc16001"/>
      <w:bookmarkStart w:id="586" w:name="_Toc234833033"/>
      <w:bookmarkStart w:id="587" w:name="_Toc19343"/>
      <w:bookmarkStart w:id="588" w:name="_Toc30300"/>
      <w:r>
        <w:rPr>
          <w:rFonts w:hint="default" w:ascii="Times New Roman" w:hAnsi="Times New Roman" w:eastAsia="黑体" w:cs="Times New Roman"/>
          <w:b w:val="0"/>
          <w:sz w:val="24"/>
          <w:szCs w:val="24"/>
          <w:highlight w:val="none"/>
        </w:rPr>
        <w:t>9.4 环境保护</w:t>
      </w:r>
      <w:bookmarkEnd w:id="585"/>
      <w:bookmarkEnd w:id="586"/>
      <w:bookmarkEnd w:id="587"/>
      <w:bookmarkEnd w:id="588"/>
    </w:p>
    <w:p w14:paraId="124CE0F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 承包人在施工过程中，应遵守有关环境保护的法律，履行合同约定的环境保护义务，并对违反法律和合同约定义务所造成的环境破坏、人身伤害和财产损失负责。</w:t>
      </w:r>
    </w:p>
    <w:p w14:paraId="76C1FA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9.4.2 承包人应按合同约定的环保工作内容，编制施工环保措施计划，报送监理人审批。</w:t>
      </w:r>
    </w:p>
    <w:p w14:paraId="228D8F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B1353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9.4.4 承包人应按合同约定采取有效措施，对施工开挖的边坡及时进行支护,维护排水设施，并进行水土保护，避免因施工造成的地质灾害。</w:t>
      </w:r>
    </w:p>
    <w:p w14:paraId="2502C7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9.4.5 承包人应按国家饮用水管理标准定期对饮用水源进行监测，防止施工活动污染饮用水源。</w:t>
      </w:r>
    </w:p>
    <w:p w14:paraId="24C06A1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9.4.6 承包人应按合同约定，加强对噪声、粉尘、废气、废水和废油的控制，努力降低噪声，控制粉尘和废气浓度，做好废水和废油的治理和排放。</w:t>
      </w:r>
    </w:p>
    <w:p w14:paraId="437E4A2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9" w:name="_Toc26780"/>
      <w:bookmarkStart w:id="590" w:name="_Toc234833034"/>
      <w:bookmarkStart w:id="591" w:name="_Toc5457"/>
      <w:bookmarkStart w:id="592" w:name="_Toc28801"/>
      <w:r>
        <w:rPr>
          <w:rFonts w:hint="default" w:ascii="Times New Roman" w:hAnsi="Times New Roman" w:eastAsia="黑体" w:cs="Times New Roman"/>
          <w:b w:val="0"/>
          <w:sz w:val="24"/>
          <w:szCs w:val="24"/>
          <w:highlight w:val="none"/>
        </w:rPr>
        <w:t>9.5 事故处理</w:t>
      </w:r>
      <w:bookmarkEnd w:id="589"/>
      <w:bookmarkEnd w:id="590"/>
      <w:bookmarkEnd w:id="591"/>
      <w:bookmarkEnd w:id="592"/>
    </w:p>
    <w:p w14:paraId="58C8B3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6A1C20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93" w:name="_Toc32151"/>
      <w:bookmarkStart w:id="594" w:name="_Toc234833035"/>
      <w:bookmarkStart w:id="595" w:name="_Toc12821"/>
      <w:bookmarkStart w:id="596" w:name="_Toc11002"/>
      <w:r>
        <w:rPr>
          <w:rFonts w:hint="default" w:ascii="Times New Roman" w:hAnsi="Times New Roman" w:eastAsia="黑体" w:cs="Times New Roman"/>
          <w:b w:val="0"/>
          <w:sz w:val="28"/>
          <w:szCs w:val="28"/>
          <w:highlight w:val="none"/>
        </w:rPr>
        <w:t>10. 进度计划</w:t>
      </w:r>
      <w:bookmarkEnd w:id="593"/>
      <w:bookmarkEnd w:id="594"/>
      <w:bookmarkEnd w:id="595"/>
      <w:bookmarkEnd w:id="596"/>
    </w:p>
    <w:p w14:paraId="0FC6CC2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97" w:name="_Toc24434"/>
      <w:bookmarkStart w:id="598" w:name="_Toc3541"/>
      <w:bookmarkStart w:id="599" w:name="_Toc9432"/>
      <w:bookmarkStart w:id="600" w:name="_Toc234833036"/>
      <w:r>
        <w:rPr>
          <w:rFonts w:hint="default" w:ascii="Times New Roman" w:hAnsi="Times New Roman" w:eastAsia="黑体" w:cs="Times New Roman"/>
          <w:b w:val="0"/>
          <w:sz w:val="24"/>
          <w:szCs w:val="24"/>
          <w:highlight w:val="none"/>
        </w:rPr>
        <w:t>10.1 合同进度计划</w:t>
      </w:r>
      <w:bookmarkEnd w:id="597"/>
      <w:bookmarkEnd w:id="598"/>
      <w:bookmarkEnd w:id="599"/>
      <w:bookmarkEnd w:id="600"/>
    </w:p>
    <w:p w14:paraId="490F2B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99667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1" w:name="_Toc17377"/>
      <w:bookmarkStart w:id="602" w:name="_Toc23622"/>
      <w:bookmarkStart w:id="603" w:name="_Toc15025"/>
      <w:bookmarkStart w:id="604" w:name="_Toc234833037"/>
      <w:r>
        <w:rPr>
          <w:rFonts w:hint="default" w:ascii="Times New Roman" w:hAnsi="Times New Roman" w:eastAsia="黑体" w:cs="Times New Roman"/>
          <w:b w:val="0"/>
          <w:sz w:val="24"/>
          <w:szCs w:val="24"/>
          <w:highlight w:val="none"/>
        </w:rPr>
        <w:t>10.2 合同进度计划的修订</w:t>
      </w:r>
      <w:bookmarkEnd w:id="601"/>
      <w:bookmarkEnd w:id="602"/>
      <w:bookmarkEnd w:id="603"/>
      <w:bookmarkEnd w:id="604"/>
    </w:p>
    <w:p w14:paraId="0BEFC87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E30BA2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05" w:name="_Toc234833038"/>
      <w:bookmarkStart w:id="606" w:name="_Toc1558"/>
      <w:bookmarkStart w:id="607" w:name="_Toc15582"/>
      <w:bookmarkStart w:id="608" w:name="_Toc1432"/>
      <w:r>
        <w:rPr>
          <w:rFonts w:hint="default" w:ascii="Times New Roman" w:hAnsi="Times New Roman" w:eastAsia="黑体" w:cs="Times New Roman"/>
          <w:b w:val="0"/>
          <w:sz w:val="28"/>
          <w:szCs w:val="28"/>
          <w:highlight w:val="none"/>
        </w:rPr>
        <w:t>11. 开工和竣工</w:t>
      </w:r>
      <w:bookmarkEnd w:id="605"/>
      <w:bookmarkEnd w:id="606"/>
      <w:bookmarkEnd w:id="607"/>
      <w:bookmarkEnd w:id="608"/>
    </w:p>
    <w:p w14:paraId="583714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9" w:name="_Toc196"/>
      <w:bookmarkStart w:id="610" w:name="_Toc20810"/>
      <w:bookmarkStart w:id="611" w:name="_Toc234833039"/>
      <w:bookmarkStart w:id="612" w:name="_Toc21967"/>
      <w:r>
        <w:rPr>
          <w:rFonts w:hint="default" w:ascii="Times New Roman" w:hAnsi="Times New Roman" w:eastAsia="黑体" w:cs="Times New Roman"/>
          <w:b w:val="0"/>
          <w:sz w:val="24"/>
          <w:szCs w:val="24"/>
          <w:highlight w:val="none"/>
        </w:rPr>
        <w:t>11.1 开工</w:t>
      </w:r>
      <w:bookmarkEnd w:id="609"/>
      <w:bookmarkEnd w:id="610"/>
      <w:bookmarkEnd w:id="611"/>
      <w:bookmarkEnd w:id="612"/>
    </w:p>
    <w:p w14:paraId="67961C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7F7C0D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93E943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3" w:name="_Toc830"/>
      <w:bookmarkStart w:id="614" w:name="_Toc8771"/>
      <w:bookmarkStart w:id="615" w:name="_Toc10996"/>
      <w:bookmarkStart w:id="616" w:name="_Toc234833040"/>
      <w:r>
        <w:rPr>
          <w:rFonts w:hint="default" w:ascii="Times New Roman" w:hAnsi="Times New Roman" w:eastAsia="黑体" w:cs="Times New Roman"/>
          <w:b w:val="0"/>
          <w:sz w:val="24"/>
          <w:szCs w:val="24"/>
          <w:highlight w:val="none"/>
        </w:rPr>
        <w:t>11.2</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 xml:space="preserve"> 竣工</w:t>
      </w:r>
      <w:bookmarkEnd w:id="613"/>
      <w:bookmarkEnd w:id="614"/>
      <w:bookmarkEnd w:id="615"/>
      <w:bookmarkEnd w:id="616"/>
    </w:p>
    <w:p w14:paraId="6B2A0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承包人应在第1.1.4.3目约定的期限内完成合同工程。实际竣工日期在接收证书中写明。</w:t>
      </w:r>
    </w:p>
    <w:p w14:paraId="1BA218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7" w:name="_Toc19984"/>
      <w:bookmarkStart w:id="618" w:name="_Toc18689"/>
      <w:bookmarkStart w:id="619" w:name="_Toc234833041"/>
      <w:bookmarkStart w:id="620" w:name="_Toc27799"/>
      <w:r>
        <w:rPr>
          <w:rFonts w:hint="default" w:ascii="Times New Roman" w:hAnsi="Times New Roman" w:eastAsia="黑体" w:cs="Times New Roman"/>
          <w:b w:val="0"/>
          <w:sz w:val="24"/>
          <w:szCs w:val="24"/>
          <w:highlight w:val="none"/>
        </w:rPr>
        <w:t>11.3 发包人的工期延误</w:t>
      </w:r>
      <w:bookmarkEnd w:id="617"/>
      <w:bookmarkEnd w:id="618"/>
      <w:bookmarkEnd w:id="619"/>
      <w:bookmarkEnd w:id="620"/>
    </w:p>
    <w:p w14:paraId="1AD24B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在履行合同过程中，由于发包人的下列原因造成工期延误的，承包人有权要求发包人延长工期和（或）增加费用，并支付合理利润。需要修订合同进度计划的，按照第10.2款的约定办理。</w:t>
      </w:r>
    </w:p>
    <w:p w14:paraId="3CD12E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（1）增加合同工作内容;</w:t>
      </w:r>
    </w:p>
    <w:p w14:paraId="3220BD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（2）改变合同中任何一项工作的质量要求或其他特性；</w:t>
      </w:r>
    </w:p>
    <w:p w14:paraId="17BE4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（3）发包人迟延提供材料、工程设备或变更交货地点的；</w:t>
      </w:r>
    </w:p>
    <w:p w14:paraId="487738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（4）因发包人原因导致的暂停施工；</w:t>
      </w:r>
    </w:p>
    <w:p w14:paraId="45D09D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（5）提供图纸延误；</w:t>
      </w:r>
    </w:p>
    <w:p w14:paraId="328D60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（6）未按合同约定及时支付预付款、进度款；</w:t>
      </w:r>
    </w:p>
    <w:p w14:paraId="43753E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（7）发包人造成工期延误的其他原因。</w:t>
      </w:r>
    </w:p>
    <w:p w14:paraId="500A45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1" w:name="_Toc234833042"/>
      <w:bookmarkStart w:id="622" w:name="_Toc32221"/>
      <w:bookmarkStart w:id="623" w:name="_Toc10516"/>
      <w:bookmarkStart w:id="624" w:name="_Toc31357"/>
      <w:r>
        <w:rPr>
          <w:rFonts w:hint="default" w:ascii="Times New Roman" w:hAnsi="Times New Roman" w:eastAsia="黑体" w:cs="Times New Roman"/>
          <w:b w:val="0"/>
          <w:sz w:val="24"/>
          <w:szCs w:val="24"/>
          <w:highlight w:val="none"/>
        </w:rPr>
        <w:t>11.4异常恶劣的气候条件</w:t>
      </w:r>
      <w:bookmarkEnd w:id="621"/>
      <w:bookmarkEnd w:id="622"/>
      <w:bookmarkEnd w:id="623"/>
      <w:bookmarkEnd w:id="624"/>
    </w:p>
    <w:p w14:paraId="188013C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由于出现专用合同条款约定的异常恶劣气候的条件导致工期延误的，承包人有权要求发包人延长工期。</w:t>
      </w:r>
    </w:p>
    <w:p w14:paraId="41E92D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5" w:name="_Toc24782"/>
      <w:bookmarkStart w:id="626" w:name="_Toc27127"/>
      <w:bookmarkStart w:id="627" w:name="_Toc23628"/>
      <w:bookmarkStart w:id="628" w:name="_Toc234833043"/>
      <w:r>
        <w:rPr>
          <w:rFonts w:hint="default" w:ascii="Times New Roman" w:hAnsi="Times New Roman" w:eastAsia="黑体" w:cs="Times New Roman"/>
          <w:b w:val="0"/>
          <w:sz w:val="24"/>
          <w:szCs w:val="24"/>
          <w:highlight w:val="none"/>
        </w:rPr>
        <w:t>11.5 承包人的工期延误</w:t>
      </w:r>
      <w:bookmarkEnd w:id="625"/>
      <w:bookmarkEnd w:id="626"/>
      <w:bookmarkEnd w:id="627"/>
      <w:bookmarkEnd w:id="628"/>
    </w:p>
    <w:p w14:paraId="26594AF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D7DAA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9" w:name="_Toc25703"/>
      <w:bookmarkStart w:id="630" w:name="_Toc234833044"/>
      <w:bookmarkStart w:id="631" w:name="_Toc32030"/>
      <w:bookmarkStart w:id="632" w:name="_Toc18576"/>
      <w:r>
        <w:rPr>
          <w:rFonts w:hint="default" w:ascii="Times New Roman" w:hAnsi="Times New Roman" w:eastAsia="黑体" w:cs="Times New Roman"/>
          <w:b w:val="0"/>
          <w:sz w:val="24"/>
          <w:szCs w:val="24"/>
          <w:highlight w:val="none"/>
        </w:rPr>
        <w:t>11.6 工期提前</w:t>
      </w:r>
      <w:bookmarkEnd w:id="629"/>
      <w:bookmarkEnd w:id="630"/>
      <w:bookmarkEnd w:id="631"/>
      <w:bookmarkEnd w:id="632"/>
    </w:p>
    <w:p w14:paraId="7A9BBE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E084F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33" w:name="_Toc29212"/>
      <w:bookmarkStart w:id="634" w:name="_Toc234833045"/>
      <w:bookmarkStart w:id="635" w:name="_Toc23679"/>
      <w:bookmarkStart w:id="636" w:name="_Toc17458"/>
      <w:r>
        <w:rPr>
          <w:rFonts w:hint="default" w:ascii="Times New Roman" w:hAnsi="Times New Roman" w:eastAsia="黑体" w:cs="Times New Roman"/>
          <w:b w:val="0"/>
          <w:sz w:val="28"/>
          <w:szCs w:val="28"/>
          <w:highlight w:val="none"/>
        </w:rPr>
        <w:t>12. 暂停施工</w:t>
      </w:r>
      <w:bookmarkEnd w:id="633"/>
      <w:bookmarkEnd w:id="634"/>
      <w:bookmarkEnd w:id="635"/>
      <w:bookmarkEnd w:id="636"/>
    </w:p>
    <w:p w14:paraId="6D2914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37" w:name="_Toc27"/>
      <w:bookmarkStart w:id="638" w:name="_Toc234833046"/>
      <w:bookmarkStart w:id="639" w:name="_Toc6300"/>
      <w:bookmarkStart w:id="640" w:name="_Toc8685"/>
      <w:r>
        <w:rPr>
          <w:rFonts w:hint="default" w:ascii="Times New Roman" w:hAnsi="Times New Roman" w:eastAsia="黑体" w:cs="Times New Roman"/>
          <w:b w:val="0"/>
          <w:sz w:val="24"/>
          <w:szCs w:val="24"/>
          <w:highlight w:val="none"/>
        </w:rPr>
        <w:t>12.1 承包人暂停施工的责任</w:t>
      </w:r>
      <w:bookmarkEnd w:id="637"/>
      <w:bookmarkEnd w:id="638"/>
      <w:bookmarkEnd w:id="639"/>
      <w:bookmarkEnd w:id="640"/>
    </w:p>
    <w:p w14:paraId="2F2C08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因下列暂停施工增加的费用和（或）工期延误由承包人承担：</w:t>
      </w:r>
    </w:p>
    <w:p w14:paraId="5DBA63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（1）承包人违约引起的暂停施工；</w:t>
      </w:r>
    </w:p>
    <w:p w14:paraId="752CE4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（2）由于承包人原因为工程合理施工和安全保障所必需的暂停施工；</w:t>
      </w:r>
    </w:p>
    <w:p w14:paraId="6FA4FD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（3）承包人擅自暂停施工；</w:t>
      </w:r>
    </w:p>
    <w:p w14:paraId="226F097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（4）承包人其他原因引起的暂停施工；</w:t>
      </w:r>
    </w:p>
    <w:p w14:paraId="239C8E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（5）专用合同条款约定由承包人承担的其他暂停施工。</w:t>
      </w:r>
    </w:p>
    <w:p w14:paraId="23F6767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1" w:name="_Toc25952"/>
      <w:bookmarkStart w:id="642" w:name="_Toc234833047"/>
      <w:bookmarkStart w:id="643" w:name="_Toc29989"/>
      <w:bookmarkStart w:id="644" w:name="_Toc23726"/>
      <w:r>
        <w:rPr>
          <w:rFonts w:hint="default" w:ascii="Times New Roman" w:hAnsi="Times New Roman" w:eastAsia="黑体" w:cs="Times New Roman"/>
          <w:b w:val="0"/>
          <w:sz w:val="24"/>
          <w:szCs w:val="24"/>
          <w:highlight w:val="none"/>
        </w:rPr>
        <w:t>12.2 发包人暂停施工的责任</w:t>
      </w:r>
      <w:bookmarkEnd w:id="641"/>
      <w:bookmarkEnd w:id="642"/>
      <w:bookmarkEnd w:id="643"/>
      <w:bookmarkEnd w:id="644"/>
    </w:p>
    <w:p w14:paraId="0E0C29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由于发包人原因引起的暂停施工造成工期延误的，承包人有权要求发包人延长工期和（或）增加费用，并支付合理利润。</w:t>
      </w:r>
    </w:p>
    <w:p w14:paraId="0FE7FAD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5" w:name="_Toc15395"/>
      <w:bookmarkStart w:id="646" w:name="_Toc3136"/>
      <w:bookmarkStart w:id="647" w:name="_Toc234833048"/>
      <w:bookmarkStart w:id="648" w:name="_Toc3772"/>
      <w:r>
        <w:rPr>
          <w:rFonts w:hint="default" w:ascii="Times New Roman" w:hAnsi="Times New Roman" w:eastAsia="黑体" w:cs="Times New Roman"/>
          <w:b w:val="0"/>
          <w:sz w:val="24"/>
          <w:szCs w:val="24"/>
          <w:highlight w:val="none"/>
        </w:rPr>
        <w:t>12.3 监理人暂停施工指示</w:t>
      </w:r>
      <w:bookmarkEnd w:id="645"/>
      <w:bookmarkEnd w:id="646"/>
      <w:bookmarkEnd w:id="647"/>
      <w:bookmarkEnd w:id="648"/>
    </w:p>
    <w:p w14:paraId="3B9F76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25D3B5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3FB587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9" w:name="_Toc1869"/>
      <w:bookmarkStart w:id="650" w:name="_Toc11081"/>
      <w:bookmarkStart w:id="651" w:name="_Toc234833049"/>
      <w:bookmarkStart w:id="652" w:name="_Toc28297"/>
      <w:r>
        <w:rPr>
          <w:rFonts w:hint="default" w:ascii="Times New Roman" w:hAnsi="Times New Roman" w:eastAsia="黑体" w:cs="Times New Roman"/>
          <w:b w:val="0"/>
          <w:sz w:val="24"/>
          <w:szCs w:val="24"/>
          <w:highlight w:val="none"/>
        </w:rPr>
        <w:t>12.4 暂停施工后的复工</w:t>
      </w:r>
      <w:bookmarkEnd w:id="649"/>
      <w:bookmarkEnd w:id="650"/>
      <w:bookmarkEnd w:id="651"/>
      <w:bookmarkEnd w:id="652"/>
    </w:p>
    <w:p w14:paraId="234C44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151BF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12.4.2承包人无故拖延和拒绝复工的，由此增加的费用和工期延误由承包人承担；因发包人原因无法按时复工的，承包人有权要求发包人延长工期和（或）增加费用，并支付合理利润。</w:t>
      </w:r>
    </w:p>
    <w:p w14:paraId="50C152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53" w:name="_Toc11816"/>
      <w:bookmarkStart w:id="654" w:name="_Toc1952"/>
      <w:bookmarkStart w:id="655" w:name="_Toc4186"/>
      <w:bookmarkStart w:id="656" w:name="_Toc234833050"/>
      <w:r>
        <w:rPr>
          <w:rFonts w:hint="default" w:ascii="Times New Roman" w:hAnsi="Times New Roman" w:eastAsia="黑体" w:cs="Times New Roman"/>
          <w:b w:val="0"/>
          <w:sz w:val="24"/>
          <w:szCs w:val="24"/>
          <w:highlight w:val="none"/>
        </w:rPr>
        <w:t>12.5 暂停施工持续56天以上</w:t>
      </w:r>
      <w:bookmarkEnd w:id="653"/>
      <w:bookmarkEnd w:id="654"/>
      <w:bookmarkEnd w:id="655"/>
      <w:bookmarkEnd w:id="656"/>
    </w:p>
    <w:p w14:paraId="785E713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4BA3B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12.5.2由于承包人责任引起的暂停施工，如承包人在收到监理人暂停施工指示后56天内不认真采取有效的复工措施，造成工期延误，可视为承包人违约，应按第22.1款的约定办理。</w:t>
      </w:r>
    </w:p>
    <w:p w14:paraId="252844A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57" w:name="_Toc234833051"/>
      <w:bookmarkStart w:id="658" w:name="_Toc38"/>
      <w:bookmarkStart w:id="659" w:name="_Toc7813"/>
      <w:bookmarkStart w:id="660" w:name="_Toc28272"/>
      <w:r>
        <w:rPr>
          <w:rFonts w:hint="default" w:ascii="Times New Roman" w:hAnsi="Times New Roman" w:eastAsia="黑体" w:cs="Times New Roman"/>
          <w:b w:val="0"/>
          <w:sz w:val="28"/>
          <w:szCs w:val="28"/>
          <w:highlight w:val="none"/>
        </w:rPr>
        <w:t>13. 工程质量</w:t>
      </w:r>
      <w:bookmarkEnd w:id="657"/>
      <w:bookmarkEnd w:id="658"/>
      <w:bookmarkEnd w:id="659"/>
      <w:bookmarkEnd w:id="660"/>
    </w:p>
    <w:p w14:paraId="07FD49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1" w:name="_Toc3571"/>
      <w:bookmarkStart w:id="662" w:name="_Toc9818"/>
      <w:bookmarkStart w:id="663" w:name="_Toc25776"/>
      <w:bookmarkStart w:id="664" w:name="_Toc234833052"/>
      <w:r>
        <w:rPr>
          <w:rFonts w:hint="default" w:ascii="Times New Roman" w:hAnsi="Times New Roman" w:eastAsia="黑体" w:cs="Times New Roman"/>
          <w:b w:val="0"/>
          <w:sz w:val="24"/>
          <w:szCs w:val="24"/>
          <w:highlight w:val="none"/>
        </w:rPr>
        <w:t>13.1 工程质量要求</w:t>
      </w:r>
      <w:bookmarkEnd w:id="661"/>
      <w:bookmarkEnd w:id="662"/>
      <w:bookmarkEnd w:id="663"/>
      <w:bookmarkEnd w:id="664"/>
    </w:p>
    <w:p w14:paraId="7CFF7E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13.1.1 工程质量验收按合同约定验收标准执行。</w:t>
      </w:r>
    </w:p>
    <w:p w14:paraId="655BEA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13.1.2 因承包人原因造成工程质量达不到合同约定验收标准的，监理人有权要求承包人返工直至符合合同要求为止，由此造成的费用增加和（或）工期延误由承包人承担。</w:t>
      </w:r>
    </w:p>
    <w:p w14:paraId="261F722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13.1.3 因发包人原因造成工程质量达不到合同约定验收标准的，发包人应承担由于承包人返工造成的费用增加和（或）工期延误，并支付承包人合理利润。</w:t>
      </w:r>
    </w:p>
    <w:p w14:paraId="6B9E585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5" w:name="_Toc234833053"/>
      <w:bookmarkStart w:id="666" w:name="_Toc20391"/>
      <w:bookmarkStart w:id="667" w:name="_Toc13574"/>
      <w:bookmarkStart w:id="668" w:name="_Toc1504"/>
      <w:r>
        <w:rPr>
          <w:rFonts w:hint="default" w:ascii="Times New Roman" w:hAnsi="Times New Roman" w:eastAsia="黑体" w:cs="Times New Roman"/>
          <w:b w:val="0"/>
          <w:sz w:val="24"/>
          <w:szCs w:val="24"/>
          <w:highlight w:val="none"/>
        </w:rPr>
        <w:t>13.2 承包人的质量管理</w:t>
      </w:r>
      <w:bookmarkEnd w:id="665"/>
      <w:bookmarkEnd w:id="666"/>
      <w:bookmarkEnd w:id="667"/>
      <w:bookmarkEnd w:id="668"/>
    </w:p>
    <w:p w14:paraId="045AD5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4C3DD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13.2.2 承包人应加强对施工人员的质量教育和技术培训，定期考核施工人员的劳动技能，严格执行规范和操作规程。</w:t>
      </w:r>
    </w:p>
    <w:p w14:paraId="57AC84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9" w:name="_Toc27305"/>
      <w:bookmarkStart w:id="670" w:name="_Toc23276"/>
      <w:bookmarkStart w:id="671" w:name="_Toc18930"/>
      <w:bookmarkStart w:id="672" w:name="_Toc234833054"/>
      <w:r>
        <w:rPr>
          <w:rFonts w:hint="default" w:ascii="Times New Roman" w:hAnsi="Times New Roman" w:eastAsia="黑体" w:cs="Times New Roman"/>
          <w:b w:val="0"/>
          <w:sz w:val="24"/>
          <w:szCs w:val="24"/>
          <w:highlight w:val="none"/>
        </w:rPr>
        <w:t>13.3 承包人的质量检查</w:t>
      </w:r>
      <w:bookmarkEnd w:id="669"/>
      <w:bookmarkEnd w:id="670"/>
      <w:bookmarkEnd w:id="671"/>
      <w:bookmarkEnd w:id="672"/>
    </w:p>
    <w:p w14:paraId="283A47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承包人应按合同约定对材料、工程设备以及工程的所有部位及其施工工艺进行全过程的质量检查和检验，并作详细记录，编制工程质量报表，报送监理人审查。</w:t>
      </w:r>
    </w:p>
    <w:p w14:paraId="2CAC4F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73" w:name="_Toc22037"/>
      <w:bookmarkStart w:id="674" w:name="_Toc23210"/>
      <w:bookmarkStart w:id="675" w:name="_Toc14050"/>
      <w:bookmarkStart w:id="676" w:name="_Toc234833055"/>
      <w:r>
        <w:rPr>
          <w:rFonts w:hint="default" w:ascii="Times New Roman" w:hAnsi="Times New Roman" w:eastAsia="黑体" w:cs="Times New Roman"/>
          <w:b w:val="0"/>
          <w:sz w:val="24"/>
          <w:szCs w:val="24"/>
          <w:highlight w:val="none"/>
        </w:rPr>
        <w:t>13.4 监理人的质量检查</w:t>
      </w:r>
      <w:bookmarkEnd w:id="673"/>
      <w:bookmarkEnd w:id="674"/>
      <w:bookmarkEnd w:id="675"/>
      <w:bookmarkEnd w:id="676"/>
    </w:p>
    <w:p w14:paraId="617ED8F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66196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77" w:name="_Toc17119"/>
      <w:bookmarkStart w:id="678" w:name="_Toc234833056"/>
      <w:bookmarkStart w:id="679" w:name="_Toc17194"/>
      <w:bookmarkStart w:id="680" w:name="_Toc2053"/>
      <w:r>
        <w:rPr>
          <w:rFonts w:hint="default" w:ascii="Times New Roman" w:hAnsi="Times New Roman" w:eastAsia="黑体" w:cs="Times New Roman"/>
          <w:b w:val="0"/>
          <w:sz w:val="24"/>
          <w:szCs w:val="24"/>
          <w:highlight w:val="none"/>
        </w:rPr>
        <w:t>13.5 工程隐蔽部位覆盖前的检查</w:t>
      </w:r>
      <w:bookmarkEnd w:id="677"/>
      <w:bookmarkEnd w:id="678"/>
      <w:bookmarkEnd w:id="679"/>
      <w:bookmarkEnd w:id="680"/>
    </w:p>
    <w:p w14:paraId="56C3523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13.5.1 </w:t>
      </w:r>
      <w:r>
        <w:rPr>
          <w:rFonts w:hint="default" w:ascii="Times New Roman" w:hAnsi="Times New Roman" w:eastAsia="黑体" w:cs="Times New Roman"/>
          <w:sz w:val="24"/>
          <w:highlight w:val="none"/>
        </w:rPr>
        <w:t xml:space="preserve">通知监理人检查 </w:t>
      </w:r>
    </w:p>
    <w:p w14:paraId="47D198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7BF35A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13.5.2</w:t>
      </w:r>
      <w:r>
        <w:rPr>
          <w:rFonts w:hint="default" w:ascii="Times New Roman" w:hAnsi="Times New Roman" w:eastAsia="黑体" w:cs="Times New Roman"/>
          <w:sz w:val="24"/>
          <w:highlight w:val="none"/>
        </w:rPr>
        <w:t xml:space="preserve"> 监理人未到场检查</w:t>
      </w:r>
    </w:p>
    <w:p w14:paraId="38BC4C8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B7623D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13.5.3</w:t>
      </w:r>
      <w:r>
        <w:rPr>
          <w:rFonts w:hint="default" w:ascii="Times New Roman" w:hAnsi="Times New Roman" w:eastAsia="黑体" w:cs="Times New Roman"/>
          <w:sz w:val="24"/>
          <w:highlight w:val="none"/>
        </w:rPr>
        <w:t xml:space="preserve"> 监理人重新检查</w:t>
      </w:r>
    </w:p>
    <w:p w14:paraId="46335D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E77C73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13.5.4 </w:t>
      </w:r>
      <w:r>
        <w:rPr>
          <w:rFonts w:hint="default" w:ascii="Times New Roman" w:hAnsi="Times New Roman" w:eastAsia="黑体" w:cs="Times New Roman"/>
          <w:sz w:val="24"/>
          <w:highlight w:val="none"/>
        </w:rPr>
        <w:t>承包人私自覆盖</w:t>
      </w:r>
    </w:p>
    <w:p w14:paraId="645FE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承包人未通知监理人到场检查，私自将工程隐蔽部位覆盖的，监理人有权指示承包人钻孔探测或揭开检查，由此增加的费用和（或）工期延误由承包人承担。</w:t>
      </w:r>
    </w:p>
    <w:p w14:paraId="4A47DF8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1" w:name="_Toc2573"/>
      <w:bookmarkStart w:id="682" w:name="_Toc234833057"/>
      <w:bookmarkStart w:id="683" w:name="_Toc11615"/>
      <w:bookmarkStart w:id="684" w:name="_Toc27575"/>
      <w:r>
        <w:rPr>
          <w:rFonts w:hint="default" w:ascii="Times New Roman" w:hAnsi="Times New Roman" w:eastAsia="黑体" w:cs="Times New Roman"/>
          <w:b w:val="0"/>
          <w:sz w:val="24"/>
          <w:szCs w:val="24"/>
          <w:highlight w:val="none"/>
        </w:rPr>
        <w:t>13.6 清除不合格工程</w:t>
      </w:r>
      <w:bookmarkEnd w:id="681"/>
      <w:bookmarkEnd w:id="682"/>
      <w:bookmarkEnd w:id="683"/>
      <w:bookmarkEnd w:id="684"/>
    </w:p>
    <w:p w14:paraId="3538D4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CD96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13.6.2由于发包人提供的材料或工程设备不合格造成的工程不合格，需要承包人采取措施补救的，发包人应承担由此增加的费用和（或）工期延误，并支付承包人合理利润。</w:t>
      </w:r>
    </w:p>
    <w:p w14:paraId="5A68829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85" w:name="_Toc7963"/>
      <w:bookmarkStart w:id="686" w:name="_Toc17780"/>
      <w:bookmarkStart w:id="687" w:name="_Toc234833058"/>
      <w:bookmarkStart w:id="688" w:name="_Toc26772"/>
      <w:r>
        <w:rPr>
          <w:rFonts w:hint="default" w:ascii="Times New Roman" w:hAnsi="Times New Roman" w:eastAsia="黑体" w:cs="Times New Roman"/>
          <w:b w:val="0"/>
          <w:sz w:val="28"/>
          <w:szCs w:val="28"/>
          <w:highlight w:val="none"/>
        </w:rPr>
        <w:t>14. 试验和检验</w:t>
      </w:r>
      <w:bookmarkEnd w:id="685"/>
      <w:bookmarkEnd w:id="686"/>
      <w:bookmarkEnd w:id="687"/>
      <w:bookmarkEnd w:id="688"/>
    </w:p>
    <w:p w14:paraId="28123E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9" w:name="_Toc9841"/>
      <w:bookmarkStart w:id="690" w:name="_Toc234833059"/>
      <w:bookmarkStart w:id="691" w:name="_Toc19299"/>
      <w:bookmarkStart w:id="692" w:name="_Toc23212"/>
      <w:r>
        <w:rPr>
          <w:rFonts w:hint="default" w:ascii="Times New Roman" w:hAnsi="Times New Roman" w:eastAsia="黑体" w:cs="Times New Roman"/>
          <w:b w:val="0"/>
          <w:sz w:val="24"/>
          <w:szCs w:val="24"/>
          <w:highlight w:val="none"/>
        </w:rPr>
        <w:t>14.1 材料、工程设备和工程的试验和检验</w:t>
      </w:r>
      <w:bookmarkEnd w:id="689"/>
      <w:bookmarkEnd w:id="690"/>
      <w:bookmarkEnd w:id="691"/>
      <w:bookmarkEnd w:id="692"/>
    </w:p>
    <w:p w14:paraId="7AA999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9687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14.1.2 监理人未按合同约定派员参加试验和检验的，除监理人另有指示外，承包人可自行试验和检验，并应立即将试验和检验结果报送监理人，监理人应签字确认。</w:t>
      </w:r>
    </w:p>
    <w:p w14:paraId="74AD78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340129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3" w:name="_Toc234833060"/>
      <w:bookmarkStart w:id="694" w:name="_Toc9643"/>
      <w:bookmarkStart w:id="695" w:name="_Toc29304"/>
      <w:bookmarkStart w:id="696" w:name="_Toc4179"/>
      <w:r>
        <w:rPr>
          <w:rFonts w:hint="default" w:ascii="Times New Roman" w:hAnsi="Times New Roman" w:eastAsia="黑体" w:cs="Times New Roman"/>
          <w:b w:val="0"/>
          <w:sz w:val="24"/>
          <w:szCs w:val="24"/>
          <w:highlight w:val="none"/>
        </w:rPr>
        <w:t>14.2 现场材料试验</w:t>
      </w:r>
      <w:bookmarkEnd w:id="693"/>
      <w:bookmarkEnd w:id="694"/>
      <w:bookmarkEnd w:id="695"/>
      <w:bookmarkEnd w:id="696"/>
    </w:p>
    <w:p w14:paraId="56DE71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14.2.1 承包人根据合同约定或监理人指示进行的现场材料试验，应由承包人提供试验场所、试验人员、试验设备器材以及其他必要的试验条件。</w:t>
      </w:r>
    </w:p>
    <w:p w14:paraId="36913C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14.2.2 监理人在必要时可以使用承包人的试验场所、试验设备器材以及其他试验条件，进行以工程质量检查为目的的复核性材料试验，承包人应予以协助。</w:t>
      </w:r>
    </w:p>
    <w:p w14:paraId="068154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7" w:name="_Toc14324"/>
      <w:bookmarkStart w:id="698" w:name="_Toc19643"/>
      <w:bookmarkStart w:id="699" w:name="_Toc31625"/>
      <w:bookmarkStart w:id="700" w:name="_Toc234833061"/>
      <w:r>
        <w:rPr>
          <w:rFonts w:hint="default" w:ascii="Times New Roman" w:hAnsi="Times New Roman" w:eastAsia="黑体" w:cs="Times New Roman"/>
          <w:b w:val="0"/>
          <w:sz w:val="24"/>
          <w:szCs w:val="24"/>
          <w:highlight w:val="none"/>
        </w:rPr>
        <w:t>14.3 现场工艺试验</w:t>
      </w:r>
      <w:bookmarkEnd w:id="697"/>
      <w:bookmarkEnd w:id="698"/>
      <w:bookmarkEnd w:id="699"/>
      <w:bookmarkEnd w:id="700"/>
    </w:p>
    <w:p w14:paraId="4E9C9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F25481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01" w:name="_Toc234833062"/>
      <w:bookmarkStart w:id="702" w:name="_Toc17742"/>
      <w:bookmarkStart w:id="703" w:name="_Toc473"/>
      <w:bookmarkStart w:id="704" w:name="_Toc1929"/>
      <w:r>
        <w:rPr>
          <w:rFonts w:hint="default" w:ascii="Times New Roman" w:hAnsi="Times New Roman" w:eastAsia="黑体" w:cs="Times New Roman"/>
          <w:b w:val="0"/>
          <w:sz w:val="28"/>
          <w:szCs w:val="28"/>
          <w:highlight w:val="none"/>
        </w:rPr>
        <w:t>15. 变更</w:t>
      </w:r>
      <w:bookmarkEnd w:id="701"/>
      <w:bookmarkEnd w:id="702"/>
      <w:bookmarkEnd w:id="703"/>
      <w:bookmarkEnd w:id="704"/>
    </w:p>
    <w:p w14:paraId="508CC98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5" w:name="_Toc234833063"/>
      <w:bookmarkStart w:id="706" w:name="_Toc23634"/>
      <w:bookmarkStart w:id="707" w:name="_Toc30228"/>
      <w:bookmarkStart w:id="708" w:name="_Toc4605"/>
      <w:r>
        <w:rPr>
          <w:rFonts w:hint="default" w:ascii="Times New Roman" w:hAnsi="Times New Roman" w:eastAsia="黑体" w:cs="Times New Roman"/>
          <w:b w:val="0"/>
          <w:sz w:val="24"/>
          <w:szCs w:val="24"/>
          <w:highlight w:val="none"/>
        </w:rPr>
        <w:t>15.1 变更的范围和内容</w:t>
      </w:r>
      <w:bookmarkEnd w:id="705"/>
      <w:bookmarkEnd w:id="706"/>
      <w:bookmarkEnd w:id="707"/>
      <w:bookmarkEnd w:id="708"/>
    </w:p>
    <w:p w14:paraId="2EA68C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除专用合同条款另有约定外，在履行合同中发生以下情形之一，应按照本条规定进行变更。</w:t>
      </w:r>
    </w:p>
    <w:p w14:paraId="7C1343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w:t>
      </w:r>
    </w:p>
    <w:p w14:paraId="2A301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（2）改变合同中任何一项工作的质量或其他特性；</w:t>
      </w:r>
    </w:p>
    <w:p w14:paraId="39F246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（3）改变合同工程的基线、标高、位置或尺寸；</w:t>
      </w:r>
    </w:p>
    <w:p w14:paraId="2327B8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（4）改变合同中任何一项工作的施工时间或改变已批准的施工工艺或顺序；</w:t>
      </w:r>
    </w:p>
    <w:p w14:paraId="0E81DC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（5）为完成工程需要追加的额外工作。</w:t>
      </w:r>
    </w:p>
    <w:p w14:paraId="0A56B0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9" w:name="_Toc24888"/>
      <w:bookmarkStart w:id="710" w:name="_Toc10482"/>
      <w:bookmarkStart w:id="711" w:name="_Toc234833064"/>
      <w:bookmarkStart w:id="712" w:name="_Toc20190"/>
      <w:r>
        <w:rPr>
          <w:rFonts w:hint="default" w:ascii="Times New Roman" w:hAnsi="Times New Roman" w:eastAsia="黑体" w:cs="Times New Roman"/>
          <w:b w:val="0"/>
          <w:sz w:val="24"/>
          <w:szCs w:val="24"/>
          <w:highlight w:val="none"/>
        </w:rPr>
        <w:t>15.2 变更权</w:t>
      </w:r>
      <w:bookmarkEnd w:id="709"/>
      <w:bookmarkEnd w:id="710"/>
      <w:bookmarkEnd w:id="711"/>
      <w:bookmarkEnd w:id="712"/>
    </w:p>
    <w:p w14:paraId="1E9DA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在履行合同过程中，经发包人同意，监理人可按第15.3款约定的变更程序向承包人作出变更指示，承包人应遵照执行。没有监理人的变更指示，承包人不得擅自变更。</w:t>
      </w:r>
    </w:p>
    <w:p w14:paraId="6A76A92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13" w:name="_Toc234833065"/>
      <w:bookmarkStart w:id="714" w:name="_Toc2613"/>
      <w:bookmarkStart w:id="715" w:name="_Toc12919"/>
      <w:bookmarkStart w:id="716" w:name="_Toc12800"/>
      <w:r>
        <w:rPr>
          <w:rFonts w:hint="default" w:ascii="Times New Roman" w:hAnsi="Times New Roman" w:eastAsia="黑体" w:cs="Times New Roman"/>
          <w:b w:val="0"/>
          <w:sz w:val="24"/>
          <w:szCs w:val="24"/>
          <w:highlight w:val="none"/>
        </w:rPr>
        <w:t>15.3 变更程序</w:t>
      </w:r>
      <w:bookmarkEnd w:id="713"/>
      <w:bookmarkEnd w:id="714"/>
      <w:bookmarkEnd w:id="715"/>
      <w:bookmarkEnd w:id="716"/>
    </w:p>
    <w:p w14:paraId="3006B71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15.3.1 </w:t>
      </w:r>
      <w:r>
        <w:rPr>
          <w:rFonts w:hint="default" w:ascii="Times New Roman" w:hAnsi="Times New Roman" w:eastAsia="黑体" w:cs="Times New Roman"/>
          <w:sz w:val="24"/>
          <w:highlight w:val="none"/>
        </w:rPr>
        <w:t>变更的提出</w:t>
      </w:r>
    </w:p>
    <w:p w14:paraId="48B6A0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DF6D5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（2）在合同履行过程中，发生第15.1款约定情形的，监理人应按照第15.3.3项约定向承包人发出变更指示。</w:t>
      </w:r>
    </w:p>
    <w:p w14:paraId="49E374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91B31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3B55A9E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15.3.2 </w:t>
      </w:r>
      <w:r>
        <w:rPr>
          <w:rFonts w:hint="default" w:ascii="Times New Roman" w:hAnsi="Times New Roman" w:eastAsia="黑体" w:cs="Times New Roman"/>
          <w:sz w:val="24"/>
          <w:highlight w:val="none"/>
        </w:rPr>
        <w:t>变更估价</w:t>
      </w:r>
    </w:p>
    <w:p w14:paraId="2300AF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C1AA7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（2）变更工作影响工期的，承包人应提出调整工期的具体细节。监理人认为有必要时，可要求承包人提交要求提前或延长工期的施工进度计划及相应施工措施等详细资料。</w:t>
      </w:r>
    </w:p>
    <w:p w14:paraId="134110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（3）除专用合同条款对期限另有约定外，监理人收到承包人变更报价书后的14天内，根据第15.4款约定的估价原则，按照第3.5款商定或确定变更价格。</w:t>
      </w:r>
    </w:p>
    <w:p w14:paraId="74817D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15.3.3</w:t>
      </w:r>
      <w:r>
        <w:rPr>
          <w:rFonts w:hint="default" w:ascii="Times New Roman" w:hAnsi="Times New Roman" w:eastAsia="黑体" w:cs="Times New Roman"/>
          <w:sz w:val="24"/>
          <w:highlight w:val="none"/>
        </w:rPr>
        <w:t xml:space="preserve"> 变更指示</w:t>
      </w:r>
    </w:p>
    <w:p w14:paraId="0662D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（1）变更指示只能由监理人发出。</w:t>
      </w:r>
    </w:p>
    <w:p w14:paraId="05F892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（2）变更指示应说明变更的目的、范围、变更内容以及变更的工程量及其进度和技术要求，并附有关图纸和文件。承包人收到变更指示后，应按变更指示进行变更工作。</w:t>
      </w:r>
    </w:p>
    <w:p w14:paraId="2DBB4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17" w:name="_Toc22069"/>
      <w:bookmarkStart w:id="718" w:name="_Toc25571"/>
      <w:bookmarkStart w:id="719" w:name="_Toc21464"/>
      <w:bookmarkStart w:id="720" w:name="_Toc234833066"/>
      <w:r>
        <w:rPr>
          <w:rFonts w:hint="default" w:ascii="Times New Roman" w:hAnsi="Times New Roman" w:eastAsia="黑体" w:cs="Times New Roman"/>
          <w:b w:val="0"/>
          <w:sz w:val="24"/>
          <w:szCs w:val="24"/>
          <w:highlight w:val="none"/>
        </w:rPr>
        <w:t>15.4 变更的估价原则</w:t>
      </w:r>
      <w:bookmarkEnd w:id="717"/>
      <w:bookmarkEnd w:id="718"/>
      <w:bookmarkEnd w:id="719"/>
      <w:bookmarkEnd w:id="720"/>
      <w:r>
        <w:rPr>
          <w:rFonts w:hint="default" w:ascii="Times New Roman" w:hAnsi="Times New Roman" w:eastAsia="黑体" w:cs="Times New Roman"/>
          <w:b w:val="0"/>
          <w:sz w:val="24"/>
          <w:szCs w:val="24"/>
          <w:highlight w:val="none"/>
        </w:rPr>
        <w:t xml:space="preserve"> </w:t>
      </w:r>
    </w:p>
    <w:p w14:paraId="244026D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除专用合同条款另有约定外，因变更引起的价格调整按照本款约定处理。</w:t>
      </w:r>
    </w:p>
    <w:p w14:paraId="4450B6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已标价工程量清单中有适用于变更工作的子目的，采用该子目的单价。</w:t>
      </w:r>
    </w:p>
    <w:p w14:paraId="05B69A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已标价工程量清单中无适用于变更工作的子目，但有类似子目的，可在合理范围内参照类似子目的单价，由监理人按第3.5款商定或确定变更工作的单价。</w:t>
      </w:r>
    </w:p>
    <w:p w14:paraId="2ED787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已标价工程量清单中无适用或类似子目的单价，可按照成本加利润的原则，由监理人按第3.5款商定或确定变更工作的单价。</w:t>
      </w:r>
    </w:p>
    <w:p w14:paraId="70FFF26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1" w:name="_Toc18163"/>
      <w:bookmarkStart w:id="722" w:name="_Toc20188"/>
      <w:bookmarkStart w:id="723" w:name="_Toc234833067"/>
      <w:bookmarkStart w:id="724" w:name="_Toc5615"/>
      <w:r>
        <w:rPr>
          <w:rFonts w:hint="default" w:ascii="Times New Roman" w:hAnsi="Times New Roman" w:eastAsia="黑体" w:cs="Times New Roman"/>
          <w:b w:val="0"/>
          <w:sz w:val="24"/>
          <w:szCs w:val="24"/>
          <w:highlight w:val="none"/>
        </w:rPr>
        <w:t>15.5 承包人的合理化建议</w:t>
      </w:r>
      <w:bookmarkEnd w:id="721"/>
      <w:bookmarkEnd w:id="722"/>
      <w:bookmarkEnd w:id="723"/>
      <w:bookmarkEnd w:id="724"/>
    </w:p>
    <w:p w14:paraId="3C1797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447A2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15.5.2 承包人提出的合理化建议降低了合同价格、缩短了工期或者提高了工程经济效益的，发包人可按国家有关规定在专用合同条款中约定给予奖励。</w:t>
      </w:r>
    </w:p>
    <w:p w14:paraId="5BC2783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5" w:name="_Toc32232"/>
      <w:bookmarkStart w:id="726" w:name="_Toc234833068"/>
      <w:bookmarkStart w:id="727" w:name="_Toc18965"/>
      <w:bookmarkStart w:id="728" w:name="_Toc1051"/>
      <w:r>
        <w:rPr>
          <w:rFonts w:hint="default" w:ascii="Times New Roman" w:hAnsi="Times New Roman" w:eastAsia="黑体" w:cs="Times New Roman"/>
          <w:b w:val="0"/>
          <w:sz w:val="24"/>
          <w:szCs w:val="24"/>
          <w:highlight w:val="none"/>
        </w:rPr>
        <w:t>15.6 暂列金额</w:t>
      </w:r>
      <w:bookmarkEnd w:id="725"/>
      <w:bookmarkEnd w:id="726"/>
      <w:bookmarkEnd w:id="727"/>
      <w:bookmarkEnd w:id="728"/>
    </w:p>
    <w:p w14:paraId="70BBEE0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暂列金额只能按照监理人的指示使用，并对合同价格进行相应调整。</w:t>
      </w:r>
    </w:p>
    <w:p w14:paraId="026D02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9" w:name="_Toc10060"/>
      <w:bookmarkStart w:id="730" w:name="_Toc14416"/>
      <w:bookmarkStart w:id="731" w:name="_Toc234833069"/>
      <w:bookmarkStart w:id="732" w:name="_Toc4406"/>
      <w:r>
        <w:rPr>
          <w:rFonts w:hint="default" w:ascii="Times New Roman" w:hAnsi="Times New Roman" w:eastAsia="黑体" w:cs="Times New Roman"/>
          <w:b w:val="0"/>
          <w:sz w:val="24"/>
          <w:szCs w:val="24"/>
          <w:highlight w:val="none"/>
        </w:rPr>
        <w:t>15.7 计日工</w:t>
      </w:r>
      <w:bookmarkEnd w:id="729"/>
      <w:bookmarkEnd w:id="730"/>
      <w:bookmarkEnd w:id="731"/>
      <w:bookmarkEnd w:id="732"/>
    </w:p>
    <w:p w14:paraId="0714CC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15.7.1 发包人认为有必要时，由监理人通知承包人以计日工方式实施变更的零星工作。其价款按列入已标价工程量清单中的计日工计价子目及其单价进行计算。</w:t>
      </w:r>
    </w:p>
    <w:p w14:paraId="1863FA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15.7.2 采用计日工计价的任何一项变更工作，应从暂列金额中支付，承包人应在该项变更的实施过程中，每天提交以下报表和有关凭证报送监理人审批：</w:t>
      </w:r>
    </w:p>
    <w:p w14:paraId="1621276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（1）工作名称、内容和数量；</w:t>
      </w:r>
    </w:p>
    <w:p w14:paraId="37486A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（2）投入该工作所有人员的姓名、工种、级别和耗用工时；</w:t>
      </w:r>
    </w:p>
    <w:p w14:paraId="192BBE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（3）投入该工作的材料类别和数量；</w:t>
      </w:r>
    </w:p>
    <w:p w14:paraId="267BA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（4）投入该工作的施工设备型号、台数和耗用台时；</w:t>
      </w:r>
    </w:p>
    <w:p w14:paraId="0190F6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（5）监理人要求提交的其他资料和凭证。</w:t>
      </w:r>
    </w:p>
    <w:p w14:paraId="49E120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15.7.3 计日工由承包人汇总后，按第17.3.2项的约定列入进度付款申请单，由监理人复核并经发包人同意后列入进度付款。</w:t>
      </w:r>
    </w:p>
    <w:p w14:paraId="5045CA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33" w:name="_Toc234833070"/>
      <w:bookmarkStart w:id="734" w:name="_Toc13261"/>
      <w:bookmarkStart w:id="735" w:name="_Toc24490"/>
      <w:bookmarkStart w:id="736" w:name="_Toc17561"/>
      <w:r>
        <w:rPr>
          <w:rFonts w:hint="default" w:ascii="Times New Roman" w:hAnsi="Times New Roman" w:eastAsia="黑体" w:cs="Times New Roman"/>
          <w:b w:val="0"/>
          <w:sz w:val="24"/>
          <w:szCs w:val="24"/>
          <w:highlight w:val="none"/>
        </w:rPr>
        <w:t>15.8暂估价</w:t>
      </w:r>
      <w:bookmarkEnd w:id="733"/>
      <w:bookmarkEnd w:id="734"/>
      <w:bookmarkEnd w:id="735"/>
      <w:bookmarkEnd w:id="736"/>
    </w:p>
    <w:p w14:paraId="0F2273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1F321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FE0CF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00FD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37" w:name="_Toc15345"/>
      <w:bookmarkStart w:id="738" w:name="_Toc18601"/>
      <w:bookmarkStart w:id="739" w:name="_Toc10500"/>
      <w:bookmarkStart w:id="740" w:name="_Toc234833071"/>
      <w:r>
        <w:rPr>
          <w:rFonts w:hint="default" w:ascii="Times New Roman" w:hAnsi="Times New Roman" w:eastAsia="黑体" w:cs="Times New Roman"/>
          <w:b w:val="0"/>
          <w:sz w:val="28"/>
          <w:szCs w:val="28"/>
          <w:highlight w:val="none"/>
        </w:rPr>
        <w:t>16. 价格调整</w:t>
      </w:r>
      <w:bookmarkEnd w:id="737"/>
      <w:bookmarkEnd w:id="738"/>
      <w:bookmarkEnd w:id="739"/>
      <w:bookmarkEnd w:id="740"/>
    </w:p>
    <w:p w14:paraId="4068B9E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1" w:name="_Toc4341"/>
      <w:bookmarkStart w:id="742" w:name="_Toc234833072"/>
      <w:bookmarkStart w:id="743" w:name="_Toc5119"/>
      <w:bookmarkStart w:id="744" w:name="_Toc892"/>
      <w:r>
        <w:rPr>
          <w:rFonts w:hint="default" w:ascii="Times New Roman" w:hAnsi="Times New Roman" w:eastAsia="黑体" w:cs="Times New Roman"/>
          <w:b w:val="0"/>
          <w:sz w:val="24"/>
          <w:szCs w:val="24"/>
          <w:highlight w:val="none"/>
        </w:rPr>
        <w:t>16.1 物价波动引起的价格调整</w:t>
      </w:r>
      <w:bookmarkEnd w:id="741"/>
      <w:bookmarkEnd w:id="742"/>
      <w:bookmarkEnd w:id="743"/>
      <w:bookmarkEnd w:id="744"/>
    </w:p>
    <w:p w14:paraId="0D50E6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除专用合同条款另有约定外，因物价波动引起的价格调整按照本款约定处理。</w:t>
      </w:r>
    </w:p>
    <w:p w14:paraId="2F012EBA">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FE42FC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16.1.1.1 价格调整公式</w:t>
      </w:r>
    </w:p>
    <w:p w14:paraId="49173B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因人工、材料和设备等价格波动影响合同价格时，根据投标函附录中的价格指数和权重表约定的数据，按以下公式计算差额并调整合同价格：</w:t>
      </w:r>
    </w:p>
    <w:p w14:paraId="63DEBB77">
      <w:pPr>
        <w:pageBreakBefore w:val="0"/>
        <w:kinsoku/>
        <w:wordWrap w:val="0"/>
        <w:autoSpaceDE w:val="0"/>
        <w:autoSpaceDN w:val="0"/>
        <w:bidi w:val="0"/>
        <w:adjustRightInd w:val="0"/>
        <w:spacing w:line="400" w:lineRule="atLeast"/>
        <w:ind w:right="249"/>
        <w:jc w:val="center"/>
        <w:rPr>
          <w:rFonts w:hint="default" w:ascii="Times New Roman" w:hAnsi="Times New Roman" w:cs="Times New Roman"/>
          <w:b/>
          <w:sz w:val="24"/>
          <w:highlight w:val="none"/>
        </w:rPr>
      </w:pPr>
      <w:r>
        <w:rPr>
          <w:rFonts w:hint="default" w:ascii="Times New Roman" w:hAnsi="Times New Roman" w:cs="Times New Roman"/>
          <w:b/>
          <w:bCs/>
          <w:kern w:val="0"/>
          <w:position w:val="-34"/>
          <w:sz w:val="24"/>
          <w:highlight w:val="none"/>
          <w:lang w:val="zh-CN"/>
        </w:rPr>
        <w:object>
          <v:shape id="_x0000_i1025" o:spt="75" type="#_x0000_t75" style="height:50.35pt;width:363.95pt;" o:ole="t" filled="f" o:preferrelative="t" stroked="f" coordsize="21600,21600">
            <v:path/>
            <v:fill on="f" alignshape="1" focussize="0,0"/>
            <v:stroke on="f"/>
            <v:imagedata r:id="rId59" o:title=""/>
            <o:lock v:ext="edit" aspectratio="t"/>
            <w10:wrap type="none"/>
            <w10:anchorlock/>
          </v:shape>
          <o:OLEObject Type="Embed" ProgID="Equation.3" ShapeID="_x0000_i1025" DrawAspect="Content" ObjectID="_1468075725" r:id="rId58">
            <o:LockedField>false</o:LockedField>
          </o:OLEObject>
        </w:object>
      </w:r>
    </w:p>
    <w:p w14:paraId="4F8F447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式中： </w:t>
      </w:r>
      <w:r>
        <w:rPr>
          <w:rFonts w:hint="default" w:ascii="Times New Roman" w:hAnsi="Times New Roman" w:cs="Times New Roman"/>
          <w:b/>
          <w:sz w:val="24"/>
          <w:highlight w:val="none"/>
        </w:rPr>
        <w:t>△P</w:t>
      </w:r>
      <w:r>
        <w:rPr>
          <w:rFonts w:hint="default" w:ascii="Times New Roman" w:hAnsi="Times New Roman" w:cs="Times New Roman"/>
          <w:sz w:val="24"/>
          <w:highlight w:val="none"/>
        </w:rPr>
        <w:t>-- 需调整的价格差额；</w:t>
      </w:r>
    </w:p>
    <w:p w14:paraId="1215212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P</w:t>
      </w:r>
      <w:r>
        <w:rPr>
          <w:rFonts w:hint="default" w:ascii="Times New Roman" w:hAnsi="Times New Roman" w:cs="Times New Roman"/>
          <w:b/>
          <w:bCs/>
          <w:sz w:val="24"/>
          <w:highlight w:val="none"/>
          <w:vertAlign w:val="subscript"/>
          <w:lang w:val="zh-CN"/>
        </w:rPr>
        <w:t xml:space="preserve">0 </w:t>
      </w:r>
      <w:r>
        <w:rPr>
          <w:rFonts w:hint="default" w:ascii="Times New Roman" w:hAnsi="Times New Roman" w:cs="Times New Roman"/>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B0537F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A</w:t>
      </w:r>
      <w:r>
        <w:rPr>
          <w:rFonts w:hint="default" w:ascii="Times New Roman" w:hAnsi="Times New Roman" w:cs="Times New Roman"/>
          <w:sz w:val="24"/>
          <w:highlight w:val="none"/>
        </w:rPr>
        <w:t xml:space="preserve"> -- 定值权重（即不调部分的权重）；</w:t>
      </w:r>
    </w:p>
    <w:p w14:paraId="329052B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rPr>
        <w:t xml:space="preserve"> 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lang w:val="zh-CN"/>
        </w:rPr>
        <w:t>B</w:t>
      </w:r>
      <w:r>
        <w:rPr>
          <w:rFonts w:hint="default" w:ascii="Times New Roman" w:hAnsi="Times New Roman" w:cs="Times New Roman"/>
          <w:b/>
          <w:bCs/>
          <w:sz w:val="24"/>
          <w:highlight w:val="none"/>
          <w:vertAlign w:val="subscript"/>
          <w:lang w:val="zh-CN"/>
        </w:rPr>
        <w:t>n</w:t>
      </w:r>
      <w:r>
        <w:rPr>
          <w:rFonts w:hint="default" w:ascii="Times New Roman" w:hAnsi="Times New Roman" w:cs="Times New Roman"/>
          <w:sz w:val="24"/>
          <w:highlight w:val="none"/>
          <w:vertAlign w:val="subscript"/>
        </w:rPr>
        <w:t xml:space="preserve"> </w:t>
      </w:r>
      <w:r>
        <w:rPr>
          <w:rFonts w:hint="default" w:ascii="Times New Roman" w:hAnsi="Times New Roman" w:cs="Times New Roman"/>
          <w:sz w:val="24"/>
          <w:highlight w:val="none"/>
        </w:rPr>
        <w:t xml:space="preserve"> -- 各可调因子的变值权重（即可调部分的权重）为各可调因子在投标函投标总报价中所占的比例；</w:t>
      </w:r>
    </w:p>
    <w:p w14:paraId="51F1C37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t1;</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t2;</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t3</w:t>
      </w:r>
      <w:r>
        <w:rPr>
          <w:rFonts w:hint="default" w:ascii="Times New Roman" w:hAnsi="Times New Roman" w:cs="Times New Roman"/>
          <w:b/>
          <w:bCs/>
          <w:sz w:val="24"/>
          <w:highlight w:val="none"/>
          <w:lang w:val="zh-CN"/>
        </w:rPr>
        <w:t>……F</w:t>
      </w:r>
      <w:r>
        <w:rPr>
          <w:rFonts w:hint="default" w:ascii="Times New Roman" w:hAnsi="Times New Roman" w:cs="Times New Roman"/>
          <w:b/>
          <w:bCs/>
          <w:sz w:val="24"/>
          <w:highlight w:val="none"/>
          <w:vertAlign w:val="subscript"/>
          <w:lang w:val="zh-CN"/>
        </w:rPr>
        <w:t>tn</w:t>
      </w:r>
      <w:r>
        <w:rPr>
          <w:rFonts w:hint="default" w:ascii="Times New Roman" w:hAnsi="Times New Roman" w:cs="Times New Roman"/>
          <w:sz w:val="24"/>
          <w:highlight w:val="none"/>
        </w:rPr>
        <w:t xml:space="preserve"> -- 各可调因子的现行价格指数，指第17.3.3项、第17.5.2项和第17.6.2项约定的付款证书相关周期最后一天的前42天的各可调因子的价格指数；</w:t>
      </w:r>
    </w:p>
    <w:p w14:paraId="321A953D">
      <w:pPr>
        <w:pageBreakBefore w:val="0"/>
        <w:kinsoku/>
        <w:wordWrap w:val="0"/>
        <w:bidi w:val="0"/>
        <w:spacing w:line="400" w:lineRule="atLeast"/>
        <w:ind w:firstLine="716" w:firstLineChars="297"/>
        <w:rPr>
          <w:rFonts w:hint="default" w:ascii="Times New Roman" w:hAnsi="Times New Roman" w:cs="Times New Roman"/>
          <w:sz w:val="24"/>
          <w:highlight w:val="none"/>
        </w:rPr>
      </w:pP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o1;</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o2;</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o3</w:t>
      </w: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on</w:t>
      </w:r>
      <w:r>
        <w:rPr>
          <w:rFonts w:hint="default" w:ascii="Times New Roman" w:hAnsi="Times New Roman" w:cs="Times New Roman"/>
          <w:sz w:val="24"/>
          <w:highlight w:val="none"/>
        </w:rPr>
        <w:t xml:space="preserve"> --各可调因子的基本价格指数，指基准日期的各可调因子的价格指数。</w:t>
      </w:r>
    </w:p>
    <w:p w14:paraId="3AAA0ABA">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A8702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16.1.1.2 暂时确定调整差额</w:t>
      </w:r>
    </w:p>
    <w:p w14:paraId="7045FF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在计算调整差额时得不到现行价格指数的，可暂用上一次价格指数计算，并在以后的付款中再按实际价格指数进行调整。</w:t>
      </w:r>
    </w:p>
    <w:p w14:paraId="2BCC8E6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16.1.1.3 权重的调整</w:t>
      </w:r>
    </w:p>
    <w:p w14:paraId="583282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按第15.1款约定的变更导致原定合同中的权重不合理时，由监理人与承包人和发包人协商后进行调整。</w:t>
      </w:r>
    </w:p>
    <w:p w14:paraId="0FB4A7F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16.1.1.4 承包人工期延误后的价格调整</w:t>
      </w:r>
    </w:p>
    <w:p w14:paraId="3B4EF6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36F59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16.1.2 </w:t>
      </w:r>
      <w:r>
        <w:rPr>
          <w:rFonts w:hint="default" w:ascii="Times New Roman" w:hAnsi="Times New Roman" w:eastAsia="黑体" w:cs="Times New Roman"/>
          <w:sz w:val="24"/>
          <w:highlight w:val="none"/>
        </w:rPr>
        <w:t>采用造价信息调整价格差额</w:t>
      </w:r>
    </w:p>
    <w:p w14:paraId="431507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9DA2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5" w:name="_Toc25291"/>
      <w:bookmarkStart w:id="746" w:name="_Toc3304"/>
      <w:bookmarkStart w:id="747" w:name="_Toc15845"/>
      <w:bookmarkStart w:id="748" w:name="_Toc234833073"/>
      <w:r>
        <w:rPr>
          <w:rFonts w:hint="default" w:ascii="Times New Roman" w:hAnsi="Times New Roman" w:eastAsia="黑体" w:cs="Times New Roman"/>
          <w:b w:val="0"/>
          <w:sz w:val="24"/>
          <w:szCs w:val="24"/>
          <w:highlight w:val="none"/>
        </w:rPr>
        <w:t>16.2 法律变化引起的价格调整</w:t>
      </w:r>
      <w:bookmarkEnd w:id="745"/>
      <w:bookmarkEnd w:id="746"/>
      <w:bookmarkEnd w:id="747"/>
      <w:bookmarkEnd w:id="748"/>
    </w:p>
    <w:p w14:paraId="4E051755">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94C59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49" w:name="_Toc2237"/>
      <w:bookmarkStart w:id="750" w:name="_Toc32220"/>
      <w:bookmarkStart w:id="751" w:name="_Toc15991"/>
      <w:bookmarkStart w:id="752" w:name="_Toc234833074"/>
      <w:r>
        <w:rPr>
          <w:rFonts w:hint="default" w:ascii="Times New Roman" w:hAnsi="Times New Roman" w:eastAsia="黑体" w:cs="Times New Roman"/>
          <w:b w:val="0"/>
          <w:sz w:val="28"/>
          <w:szCs w:val="28"/>
          <w:highlight w:val="none"/>
        </w:rPr>
        <w:t>17. 计量与支付</w:t>
      </w:r>
      <w:bookmarkEnd w:id="749"/>
      <w:bookmarkEnd w:id="750"/>
      <w:bookmarkEnd w:id="751"/>
      <w:bookmarkEnd w:id="752"/>
    </w:p>
    <w:p w14:paraId="77CA31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53" w:name="_Toc29292"/>
      <w:bookmarkStart w:id="754" w:name="_Toc12856"/>
      <w:bookmarkStart w:id="755" w:name="_Toc3524"/>
      <w:bookmarkStart w:id="756" w:name="_Toc234833075"/>
      <w:r>
        <w:rPr>
          <w:rFonts w:hint="default" w:ascii="Times New Roman" w:hAnsi="Times New Roman" w:eastAsia="黑体" w:cs="Times New Roman"/>
          <w:b w:val="0"/>
          <w:sz w:val="24"/>
          <w:szCs w:val="24"/>
          <w:highlight w:val="none"/>
        </w:rPr>
        <w:t>17.1 计量</w:t>
      </w:r>
      <w:bookmarkEnd w:id="753"/>
      <w:bookmarkEnd w:id="754"/>
      <w:bookmarkEnd w:id="755"/>
      <w:bookmarkEnd w:id="756"/>
      <w:r>
        <w:rPr>
          <w:rFonts w:hint="default" w:ascii="Times New Roman" w:hAnsi="Times New Roman" w:eastAsia="黑体" w:cs="Times New Roman"/>
          <w:b w:val="0"/>
          <w:sz w:val="24"/>
          <w:szCs w:val="24"/>
          <w:highlight w:val="none"/>
        </w:rPr>
        <w:t xml:space="preserve"> </w:t>
      </w:r>
    </w:p>
    <w:p w14:paraId="067C400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17.1.1 </w:t>
      </w:r>
      <w:r>
        <w:rPr>
          <w:rFonts w:hint="default" w:ascii="Times New Roman" w:hAnsi="Times New Roman" w:eastAsia="黑体" w:cs="Times New Roman"/>
          <w:sz w:val="24"/>
          <w:highlight w:val="none"/>
        </w:rPr>
        <w:t>计量单位</w:t>
      </w:r>
    </w:p>
    <w:p w14:paraId="5CE76C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计量采用国家法定的计量单位。</w:t>
      </w:r>
    </w:p>
    <w:p w14:paraId="36A8F7A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38B64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工程量清单中的工程量计算规则应按有关国家标准、行业标准的规定，并在合同中约定执行。</w:t>
      </w:r>
    </w:p>
    <w:p w14:paraId="31242391">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17.1.3 </w:t>
      </w:r>
      <w:r>
        <w:rPr>
          <w:rFonts w:hint="default" w:ascii="Times New Roman" w:hAnsi="Times New Roman" w:eastAsia="黑体" w:cs="Times New Roman"/>
          <w:sz w:val="24"/>
          <w:highlight w:val="none"/>
        </w:rPr>
        <w:t>计量周期</w:t>
      </w:r>
    </w:p>
    <w:p w14:paraId="7B1F128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除专用合同条款另有约定外，单价子目已完成工程量按月计量，总价子目的计量周期按批准的支付分解报告确定。 </w:t>
      </w:r>
    </w:p>
    <w:p w14:paraId="0D5A321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0A87A02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（1）已标价工程量清单中的单价子目工程量为估算工程量。结算工程量是承包人实际完成的，并按合同约定的计量方法进行计量的工程量。</w:t>
      </w:r>
    </w:p>
    <w:p w14:paraId="5A5554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（2）承包人对已完成的工程进行计量，向监理人提交进度付款申请单、已完成工程量报表和有关计量资料。</w:t>
      </w:r>
    </w:p>
    <w:p w14:paraId="329069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793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（4）监理人认为有必要时，可通知承包人共同进行联合测量、计量，承包人应遵照执行。</w:t>
      </w:r>
    </w:p>
    <w:p w14:paraId="76C753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45C32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150559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5B39370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除专用合同条款另有约定外，总价子目的分解和计量按照下述约定进行。</w:t>
      </w:r>
    </w:p>
    <w:p w14:paraId="76CB607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（1）总价子目的计量和支付应以总价为基础，不因第16.1款中的因素而进行调整。承包人实际完成的工程量，是进行工程目标管理和控制进度支付的依据。</w:t>
      </w:r>
    </w:p>
    <w:p w14:paraId="7B9A490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4D3BD8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（3）监理人对承包人提交的上述资料进行复核，以确定分阶段实际完成的工程量和工程形象目标。对其有异议的，可要求承包人按第8.2款约定进行共同复核和抽样复测。</w:t>
      </w:r>
    </w:p>
    <w:p w14:paraId="0F34F4B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（4）除按照第15条约定的变更外，总价子目的工程量是承包人用于结算的最终工程量。</w:t>
      </w:r>
    </w:p>
    <w:p w14:paraId="6A2B5F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57" w:name="_Toc28011"/>
      <w:bookmarkStart w:id="758" w:name="_Toc234833076"/>
      <w:bookmarkStart w:id="759" w:name="_Toc28845"/>
      <w:bookmarkStart w:id="760" w:name="_Toc14175"/>
      <w:r>
        <w:rPr>
          <w:rFonts w:hint="default" w:ascii="Times New Roman" w:hAnsi="Times New Roman" w:eastAsia="黑体" w:cs="Times New Roman"/>
          <w:b w:val="0"/>
          <w:sz w:val="24"/>
          <w:szCs w:val="24"/>
          <w:highlight w:val="none"/>
        </w:rPr>
        <w:t>17.2 预付款</w:t>
      </w:r>
      <w:bookmarkEnd w:id="757"/>
      <w:bookmarkEnd w:id="758"/>
      <w:bookmarkEnd w:id="759"/>
      <w:bookmarkEnd w:id="760"/>
    </w:p>
    <w:p w14:paraId="4838D3B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265AFF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0132B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7D3249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40DD37FC">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6975BAD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0DA9AB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1" w:name="_Toc27064"/>
      <w:bookmarkStart w:id="762" w:name="_Toc7717"/>
      <w:bookmarkStart w:id="763" w:name="_Toc20532"/>
      <w:bookmarkStart w:id="764" w:name="_Toc234833077"/>
      <w:r>
        <w:rPr>
          <w:rFonts w:hint="default" w:ascii="Times New Roman" w:hAnsi="Times New Roman" w:eastAsia="黑体" w:cs="Times New Roman"/>
          <w:b w:val="0"/>
          <w:sz w:val="24"/>
          <w:szCs w:val="24"/>
          <w:highlight w:val="none"/>
        </w:rPr>
        <w:t>17.3 工程进度付款</w:t>
      </w:r>
      <w:bookmarkEnd w:id="761"/>
      <w:bookmarkEnd w:id="762"/>
      <w:bookmarkEnd w:id="763"/>
      <w:bookmarkEnd w:id="764"/>
    </w:p>
    <w:p w14:paraId="15FD043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17.3.1 </w:t>
      </w:r>
      <w:r>
        <w:rPr>
          <w:rFonts w:hint="default" w:ascii="Times New Roman" w:hAnsi="Times New Roman" w:eastAsia="黑体" w:cs="Times New Roman"/>
          <w:sz w:val="24"/>
          <w:highlight w:val="none"/>
        </w:rPr>
        <w:t>付款周期</w:t>
      </w:r>
    </w:p>
    <w:p w14:paraId="1931CED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付款周期同计量周期。</w:t>
      </w:r>
    </w:p>
    <w:p w14:paraId="5874F7B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17.3.2 </w:t>
      </w:r>
      <w:r>
        <w:rPr>
          <w:rFonts w:hint="default" w:ascii="Times New Roman" w:hAnsi="Times New Roman" w:eastAsia="黑体" w:cs="Times New Roman"/>
          <w:sz w:val="24"/>
          <w:highlight w:val="none"/>
        </w:rPr>
        <w:t>进度付款申请单</w:t>
      </w:r>
    </w:p>
    <w:p w14:paraId="46B02FC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FBE6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（1）截至本次付款周期末已实施工程的价款；</w:t>
      </w:r>
    </w:p>
    <w:p w14:paraId="5BA24CB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（2）根据第15条应增加和扣减的变更金额；</w:t>
      </w:r>
    </w:p>
    <w:p w14:paraId="1705602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（3）根据第23条应增加和扣减的索赔金额；</w:t>
      </w:r>
    </w:p>
    <w:p w14:paraId="2DEC9B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（4）根据第17.2款约定应支付的预付款和扣减的返还预付款；</w:t>
      </w:r>
    </w:p>
    <w:p w14:paraId="6ECAC8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（5）根据第17.4.1项约定应扣减的质量保证金；</w:t>
      </w:r>
    </w:p>
    <w:p w14:paraId="3D2182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（6）根据合同应增加和扣减的其他金额。</w:t>
      </w:r>
    </w:p>
    <w:p w14:paraId="113B7FB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5F2F19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9688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（2）发包人应在监理人收到进度付款申请单后的28天内，将进度应付款支付给承包人。发包人不按期支付的，按专用合同条款的约定支付逾期付款违约金。</w:t>
      </w:r>
    </w:p>
    <w:p w14:paraId="51C61F8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（3）监理人出具进度付款证书，不应视为监理人已同意、批准或接受了承包人完成的该部分工作。</w:t>
      </w:r>
    </w:p>
    <w:p w14:paraId="75974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（4）进度付款涉及政府投资资金的，按照国库集中支付等国家相关规定和专用合同条款的约定办理。</w:t>
      </w:r>
    </w:p>
    <w:p w14:paraId="5F0F053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cs="Times New Roman"/>
          <w:sz w:val="24"/>
          <w:highlight w:val="none"/>
        </w:rPr>
        <w:t>17.3.4</w:t>
      </w:r>
      <w:r>
        <w:rPr>
          <w:rFonts w:hint="default" w:ascii="Times New Roman" w:hAnsi="Times New Roman" w:eastAsia="黑体" w:cs="Times New Roman"/>
          <w:sz w:val="24"/>
          <w:highlight w:val="none"/>
        </w:rPr>
        <w:t xml:space="preserve"> 工程进度付款的修正</w:t>
      </w:r>
    </w:p>
    <w:p w14:paraId="0191E5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32807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5" w:name="_Toc10469"/>
      <w:bookmarkStart w:id="766" w:name="_Toc234833078"/>
      <w:bookmarkStart w:id="767" w:name="_Toc9245"/>
      <w:bookmarkStart w:id="768" w:name="_Toc30905"/>
      <w:r>
        <w:rPr>
          <w:rFonts w:hint="default" w:ascii="Times New Roman" w:hAnsi="Times New Roman" w:eastAsia="黑体" w:cs="Times New Roman"/>
          <w:b w:val="0"/>
          <w:sz w:val="24"/>
          <w:szCs w:val="24"/>
          <w:highlight w:val="none"/>
        </w:rPr>
        <w:t>17.4 质量保证金</w:t>
      </w:r>
      <w:bookmarkEnd w:id="765"/>
      <w:bookmarkEnd w:id="766"/>
      <w:bookmarkEnd w:id="767"/>
      <w:bookmarkEnd w:id="768"/>
    </w:p>
    <w:p w14:paraId="0439EE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D7FB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8B312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ABD69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9" w:name="_Toc9754"/>
      <w:bookmarkStart w:id="770" w:name="_Toc26619"/>
      <w:bookmarkStart w:id="771" w:name="_Toc9168"/>
      <w:bookmarkStart w:id="772" w:name="_Toc234833079"/>
      <w:r>
        <w:rPr>
          <w:rFonts w:hint="default" w:ascii="Times New Roman" w:hAnsi="Times New Roman" w:eastAsia="黑体" w:cs="Times New Roman"/>
          <w:b w:val="0"/>
          <w:sz w:val="24"/>
          <w:szCs w:val="24"/>
          <w:highlight w:val="none"/>
        </w:rPr>
        <w:t>17.5 竣工结算</w:t>
      </w:r>
      <w:bookmarkEnd w:id="769"/>
      <w:bookmarkEnd w:id="770"/>
      <w:bookmarkEnd w:id="771"/>
      <w:bookmarkEnd w:id="772"/>
    </w:p>
    <w:p w14:paraId="49AFDD1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竣工付款申请单</w:t>
      </w:r>
    </w:p>
    <w:p w14:paraId="0C3576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A798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（2）监理人对竣工付款申请单有异议的，有权要求承包人进行修正和提供补充资料。经监理人和承包人协商后，由承包人向监理人提交修正后的竣工付款申请单。</w:t>
      </w:r>
    </w:p>
    <w:p w14:paraId="04592B3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竣工付款证书及支付时间</w:t>
      </w:r>
    </w:p>
    <w:p w14:paraId="02CF5A1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145FBC7">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（2）发包人应在监理人出具竣工付款证书后的14天内，将应支付款支付给承包人。发包人不按期支付的，按第17.3.3（2）目的约定，将逾期付款违约金支付给承包人。</w:t>
      </w:r>
    </w:p>
    <w:p w14:paraId="3D4495D0">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（3）承包人对发包人签认的竣工付款证书有异议的，发包人可出具竣工付款申请单中承包人已同意部分的临时付款证书。存在争议的部分，按第24条的约定办理。</w:t>
      </w:r>
    </w:p>
    <w:p w14:paraId="6DA18005">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（4）竣工付款涉及政府投资资金的，按第17.3.3（4）目的约定办理。</w:t>
      </w:r>
    </w:p>
    <w:p w14:paraId="309F467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73" w:name="_Toc4427"/>
      <w:bookmarkStart w:id="774" w:name="_Toc3447"/>
      <w:bookmarkStart w:id="775" w:name="_Toc28286"/>
      <w:bookmarkStart w:id="776" w:name="_Toc234833080"/>
      <w:r>
        <w:rPr>
          <w:rFonts w:hint="default" w:ascii="Times New Roman" w:hAnsi="Times New Roman" w:eastAsia="黑体" w:cs="Times New Roman"/>
          <w:b w:val="0"/>
          <w:sz w:val="24"/>
          <w:szCs w:val="24"/>
          <w:highlight w:val="none"/>
        </w:rPr>
        <w:t>17.6 最终结清</w:t>
      </w:r>
      <w:bookmarkEnd w:id="773"/>
      <w:bookmarkEnd w:id="774"/>
      <w:bookmarkEnd w:id="775"/>
      <w:bookmarkEnd w:id="776"/>
    </w:p>
    <w:p w14:paraId="66AFFA7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385C71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（1）缺陷责任期终止证书签发后，承包人可按专用合同条款约定的份数和期限向监理人提交最终结清申请单，并提供相关证明材料。</w:t>
      </w:r>
    </w:p>
    <w:p w14:paraId="4BF5F7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（2）发包人对最终结清申请单内容有异议的，有权要求承包人进行修正和提供补充资料，由承包人向监理人提交修正后的最终结清申请单。</w:t>
      </w:r>
    </w:p>
    <w:p w14:paraId="044F589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447443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3EF216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（2）发包人应在监理人出具最终结清证书后的14天内，将应支付款支付给承包人。发包人不按期支付的，按第17.3.3（2）目的约定，将逾期付款违约金支付给承包人。</w:t>
      </w:r>
    </w:p>
    <w:p w14:paraId="4ED5DC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（3）承包人对发包人签认的最终结清证书有异议的，按第24条的约定办理。</w:t>
      </w:r>
    </w:p>
    <w:p w14:paraId="15346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（4）最终结清付款涉及政府投资资金的，按第17.3.3（4）目的约定办理。</w:t>
      </w:r>
    </w:p>
    <w:p w14:paraId="545A1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77" w:name="_Toc13751"/>
      <w:bookmarkStart w:id="778" w:name="_Toc31279"/>
      <w:bookmarkStart w:id="779" w:name="_Toc28110"/>
      <w:bookmarkStart w:id="780" w:name="_Toc234833081"/>
      <w:r>
        <w:rPr>
          <w:rFonts w:hint="default" w:ascii="Times New Roman" w:hAnsi="Times New Roman" w:eastAsia="黑体" w:cs="Times New Roman"/>
          <w:b w:val="0"/>
          <w:sz w:val="28"/>
          <w:szCs w:val="28"/>
          <w:highlight w:val="none"/>
        </w:rPr>
        <w:t>18. 竣工验收</w:t>
      </w:r>
      <w:bookmarkEnd w:id="777"/>
      <w:bookmarkEnd w:id="778"/>
      <w:bookmarkEnd w:id="779"/>
      <w:bookmarkEnd w:id="780"/>
    </w:p>
    <w:p w14:paraId="2D1AC7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1" w:name="_Toc11052"/>
      <w:bookmarkStart w:id="782" w:name="_Toc23491"/>
      <w:bookmarkStart w:id="783" w:name="_Toc14256"/>
      <w:bookmarkStart w:id="784" w:name="_Toc234833082"/>
      <w:r>
        <w:rPr>
          <w:rFonts w:hint="default" w:ascii="Times New Roman" w:hAnsi="Times New Roman" w:eastAsia="黑体" w:cs="Times New Roman"/>
          <w:b w:val="0"/>
          <w:sz w:val="24"/>
          <w:szCs w:val="24"/>
          <w:highlight w:val="none"/>
        </w:rPr>
        <w:t>18.1 竣工验收的含义</w:t>
      </w:r>
      <w:bookmarkEnd w:id="781"/>
      <w:bookmarkEnd w:id="782"/>
      <w:bookmarkEnd w:id="783"/>
      <w:bookmarkEnd w:id="784"/>
    </w:p>
    <w:p w14:paraId="078F92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18.1.1 竣工验收指承包人完成了全部合同工作后，发包人按合同要求进行的验收。</w:t>
      </w:r>
    </w:p>
    <w:p w14:paraId="63D820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18.1.2 国家验收是政府有关部门根据法律、规范、规程和政策要求，针对发包人全面组织实施的整个工程正式交付投运前的验收。</w:t>
      </w:r>
    </w:p>
    <w:p w14:paraId="38048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BAC959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5" w:name="_Toc25249"/>
      <w:bookmarkStart w:id="786" w:name="_Toc234833083"/>
      <w:bookmarkStart w:id="787" w:name="_Toc28778"/>
      <w:bookmarkStart w:id="788" w:name="_Toc9365"/>
      <w:r>
        <w:rPr>
          <w:rFonts w:hint="default" w:ascii="Times New Roman" w:hAnsi="Times New Roman" w:eastAsia="黑体" w:cs="Times New Roman"/>
          <w:b w:val="0"/>
          <w:sz w:val="24"/>
          <w:szCs w:val="24"/>
          <w:highlight w:val="none"/>
        </w:rPr>
        <w:t>18.2 竣工验收申请报告</w:t>
      </w:r>
      <w:bookmarkEnd w:id="785"/>
      <w:bookmarkEnd w:id="786"/>
      <w:bookmarkEnd w:id="787"/>
      <w:bookmarkEnd w:id="788"/>
    </w:p>
    <w:p w14:paraId="360632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当工程具备以下条件时，承包人即可向监理人报送竣工验收申请报告：</w:t>
      </w:r>
    </w:p>
    <w:p w14:paraId="0F53CB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5403B0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（2）已按合同约定的内容和份数备齐了符合要求的竣工资料； </w:t>
      </w:r>
    </w:p>
    <w:p w14:paraId="118CFE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（3）已按监理人的要求编制了在缺陷责任期内完成的尾工（甩项）工程和缺陷修补工作清单以及相应施工计划；</w:t>
      </w:r>
    </w:p>
    <w:p w14:paraId="671007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（4）监理人要求在竣工验收前应完成的其他工作；</w:t>
      </w:r>
    </w:p>
    <w:p w14:paraId="08FB11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（5）监理人要求提交的竣工验收资料清单。</w:t>
      </w:r>
    </w:p>
    <w:p w14:paraId="380D30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9" w:name="_Toc25904"/>
      <w:bookmarkStart w:id="790" w:name="_Toc234833084"/>
      <w:bookmarkStart w:id="791" w:name="_Toc28749"/>
      <w:bookmarkStart w:id="792" w:name="_Toc11295"/>
      <w:r>
        <w:rPr>
          <w:rFonts w:hint="default" w:ascii="Times New Roman" w:hAnsi="Times New Roman" w:eastAsia="黑体" w:cs="Times New Roman"/>
          <w:b w:val="0"/>
          <w:sz w:val="24"/>
          <w:szCs w:val="24"/>
          <w:highlight w:val="none"/>
        </w:rPr>
        <w:t>18.3 验收</w:t>
      </w:r>
      <w:bookmarkEnd w:id="789"/>
      <w:bookmarkEnd w:id="790"/>
      <w:bookmarkEnd w:id="791"/>
      <w:bookmarkEnd w:id="792"/>
    </w:p>
    <w:p w14:paraId="1B466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监理人收到承包人按第18.2款约定提交的竣工验收申请报告后，应审查申请报告的各项内容，并按以下不同情况进行处理。</w:t>
      </w:r>
    </w:p>
    <w:p w14:paraId="418E2C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E234F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18.3.2 监理人审查后认为已具备竣工验收条件的，应在收到竣工验收申请报告后的28天内提请发包人进行工程验收。</w:t>
      </w:r>
    </w:p>
    <w:p w14:paraId="556606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2EBB3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3500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18.3.5 除专用合同条款另有约定外，经验收合格工程的实际竣工日期，以提交竣工验收申请报告的日期为准，并在工程接收证书中写明。</w:t>
      </w:r>
    </w:p>
    <w:p w14:paraId="347C23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3422B6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93" w:name="_Toc27337"/>
      <w:bookmarkStart w:id="794" w:name="_Toc234833085"/>
      <w:bookmarkStart w:id="795" w:name="_Toc21157"/>
      <w:bookmarkStart w:id="796" w:name="_Toc11852"/>
      <w:r>
        <w:rPr>
          <w:rFonts w:hint="default" w:ascii="Times New Roman" w:hAnsi="Times New Roman" w:eastAsia="黑体" w:cs="Times New Roman"/>
          <w:b w:val="0"/>
          <w:sz w:val="24"/>
          <w:szCs w:val="24"/>
          <w:highlight w:val="none"/>
        </w:rPr>
        <w:t>18.4 单位工程验收</w:t>
      </w:r>
      <w:bookmarkEnd w:id="793"/>
      <w:bookmarkEnd w:id="794"/>
      <w:bookmarkEnd w:id="795"/>
      <w:bookmarkEnd w:id="796"/>
    </w:p>
    <w:p w14:paraId="4FF97F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黑体" w:cs="Times New Roman"/>
          <w:sz w:val="24"/>
          <w:highlight w:val="none"/>
        </w:rPr>
        <w:t>18.4.1</w:t>
      </w:r>
      <w:r>
        <w:rPr>
          <w:rFonts w:hint="default" w:ascii="Times New Roman" w:hAnsi="Times New Roman" w:cs="Times New Roman"/>
          <w:sz w:val="24"/>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1C6FF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18.4.2发包人在全部工程竣工前，使用已接收的单位工程导致承包人费用增加的，发包人应承担由此增加的费用和（或）工期延误，并支付承包人合理利润。</w:t>
      </w:r>
    </w:p>
    <w:p w14:paraId="216FFAA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97" w:name="_Toc15835"/>
      <w:bookmarkStart w:id="798" w:name="_Toc28737"/>
      <w:bookmarkStart w:id="799" w:name="_Toc234833086"/>
      <w:bookmarkStart w:id="800" w:name="_Toc12760"/>
      <w:r>
        <w:rPr>
          <w:rFonts w:hint="default" w:ascii="Times New Roman" w:hAnsi="Times New Roman" w:eastAsia="黑体" w:cs="Times New Roman"/>
          <w:b w:val="0"/>
          <w:sz w:val="24"/>
          <w:szCs w:val="24"/>
          <w:highlight w:val="none"/>
        </w:rPr>
        <w:t>18.5施工期运行</w:t>
      </w:r>
      <w:bookmarkEnd w:id="797"/>
      <w:bookmarkEnd w:id="798"/>
      <w:bookmarkEnd w:id="799"/>
      <w:bookmarkEnd w:id="800"/>
    </w:p>
    <w:p w14:paraId="249AD4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CE666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18.5.2 在施工期运行中发现工程或工程设备损坏或存在缺陷的，由承包人按第19.2款约定进行修复。</w:t>
      </w:r>
    </w:p>
    <w:p w14:paraId="477201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1" w:name="_Toc27512"/>
      <w:bookmarkStart w:id="802" w:name="_Toc234833087"/>
      <w:bookmarkStart w:id="803" w:name="_Toc2643"/>
      <w:bookmarkStart w:id="804" w:name="_Toc21844"/>
      <w:r>
        <w:rPr>
          <w:rFonts w:hint="default" w:ascii="Times New Roman" w:hAnsi="Times New Roman" w:eastAsia="黑体" w:cs="Times New Roman"/>
          <w:b w:val="0"/>
          <w:sz w:val="24"/>
          <w:szCs w:val="24"/>
          <w:highlight w:val="none"/>
        </w:rPr>
        <w:t>18.6 试运行</w:t>
      </w:r>
      <w:bookmarkEnd w:id="801"/>
      <w:bookmarkEnd w:id="802"/>
      <w:bookmarkEnd w:id="803"/>
      <w:bookmarkEnd w:id="804"/>
    </w:p>
    <w:p w14:paraId="5AA7F9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18.6.1</w:t>
      </w:r>
      <w:r>
        <w:rPr>
          <w:rFonts w:hint="default" w:ascii="Times New Roman" w:hAnsi="Times New Roman" w:cs="Times New Roman"/>
          <w:b/>
          <w:sz w:val="24"/>
          <w:highlight w:val="none"/>
        </w:rPr>
        <w:t xml:space="preserve"> </w:t>
      </w:r>
      <w:r>
        <w:rPr>
          <w:rFonts w:hint="default" w:ascii="Times New Roman" w:hAnsi="Times New Roman" w:cs="Times New Roman"/>
          <w:sz w:val="24"/>
          <w:highlight w:val="none"/>
        </w:rPr>
        <w:t>除专用合同条款另有约定外，承包人应按专用合同条款约定进行工程及工程设备试运行，负责提供试运行所需的人员、器材和必要的条件，并承担全部试运行费用。</w:t>
      </w:r>
    </w:p>
    <w:p w14:paraId="4F306B63">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0C0C50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5" w:name="_Toc22550"/>
      <w:bookmarkStart w:id="806" w:name="_Toc17498"/>
      <w:bookmarkStart w:id="807" w:name="_Toc234833088"/>
      <w:bookmarkStart w:id="808" w:name="_Toc14071"/>
      <w:r>
        <w:rPr>
          <w:rFonts w:hint="default" w:ascii="Times New Roman" w:hAnsi="Times New Roman" w:eastAsia="黑体" w:cs="Times New Roman"/>
          <w:b w:val="0"/>
          <w:sz w:val="24"/>
          <w:szCs w:val="24"/>
          <w:highlight w:val="none"/>
        </w:rPr>
        <w:t>18.7 竣工清场</w:t>
      </w:r>
      <w:bookmarkEnd w:id="805"/>
      <w:bookmarkEnd w:id="806"/>
      <w:bookmarkEnd w:id="807"/>
      <w:bookmarkEnd w:id="808"/>
    </w:p>
    <w:p w14:paraId="7406E6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18.7.1除合同另有约定外，工程接收证书颁发后，承包人应按以下要求对施工场地进行清理，直至监理人检验合格为止。竣工清场费用由承包人承担。</w:t>
      </w:r>
    </w:p>
    <w:p w14:paraId="1E7E42AF">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（1）施工场地内残留的垃圾已全部清除出场；</w:t>
      </w:r>
    </w:p>
    <w:p w14:paraId="23509818">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（2）临时工程已拆除，场地已按合同要求进行清理、平整或复原；</w:t>
      </w:r>
    </w:p>
    <w:p w14:paraId="4C09CBCA">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（3）按合同约定应撤离的承包人设备和剩余的材料，包括废弃的施工设备和材料，已按计划撤离施工场地；</w:t>
      </w:r>
    </w:p>
    <w:p w14:paraId="3069CDE1">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（4）工程建筑物周边及其附近道路、河道的施工堆积物，已按监理人指示全部清理；</w:t>
      </w:r>
    </w:p>
    <w:p w14:paraId="072E701B">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（5）监理人指示的其他场地清理工作已全部完成。</w:t>
      </w:r>
    </w:p>
    <w:p w14:paraId="066FA9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18.7.2承包人未按监理人的要求恢复临时占地，或者场地清理未达到合同约定的，发包人有权委托其他人恢复或清理，所发生的金额从拟支付给承包人的款项中扣除。</w:t>
      </w:r>
    </w:p>
    <w:p w14:paraId="3DB1C65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9" w:name="_Toc23526"/>
      <w:bookmarkStart w:id="810" w:name="_Toc14033"/>
      <w:bookmarkStart w:id="811" w:name="_Toc234833089"/>
      <w:bookmarkStart w:id="812" w:name="_Toc9873"/>
      <w:r>
        <w:rPr>
          <w:rFonts w:hint="default" w:ascii="Times New Roman" w:hAnsi="Times New Roman" w:eastAsia="黑体" w:cs="Times New Roman"/>
          <w:b w:val="0"/>
          <w:sz w:val="24"/>
          <w:szCs w:val="24"/>
          <w:highlight w:val="none"/>
        </w:rPr>
        <w:t>18.8施工队伍的撤离</w:t>
      </w:r>
      <w:bookmarkEnd w:id="809"/>
      <w:bookmarkEnd w:id="810"/>
      <w:bookmarkEnd w:id="811"/>
      <w:bookmarkEnd w:id="812"/>
    </w:p>
    <w:p w14:paraId="69FB77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A4694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13" w:name="_Toc234833090"/>
      <w:bookmarkStart w:id="814" w:name="_Toc2434"/>
      <w:bookmarkStart w:id="815" w:name="_Toc11982"/>
      <w:bookmarkStart w:id="816" w:name="_Toc32506"/>
      <w:r>
        <w:rPr>
          <w:rFonts w:hint="default" w:ascii="Times New Roman" w:hAnsi="Times New Roman" w:eastAsia="黑体" w:cs="Times New Roman"/>
          <w:b w:val="0"/>
          <w:sz w:val="28"/>
          <w:szCs w:val="28"/>
          <w:highlight w:val="none"/>
        </w:rPr>
        <w:t>19. 缺陷责任与保修责任</w:t>
      </w:r>
      <w:bookmarkEnd w:id="813"/>
      <w:bookmarkEnd w:id="814"/>
      <w:bookmarkEnd w:id="815"/>
      <w:bookmarkEnd w:id="816"/>
    </w:p>
    <w:p w14:paraId="13273B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17" w:name="_Toc234833091"/>
      <w:bookmarkStart w:id="818" w:name="_Toc21347"/>
      <w:bookmarkStart w:id="819" w:name="_Toc10435"/>
      <w:bookmarkStart w:id="820" w:name="_Toc28348"/>
      <w:r>
        <w:rPr>
          <w:rFonts w:hint="default" w:ascii="Times New Roman" w:hAnsi="Times New Roman" w:eastAsia="黑体" w:cs="Times New Roman"/>
          <w:b w:val="0"/>
          <w:sz w:val="24"/>
          <w:szCs w:val="24"/>
          <w:highlight w:val="none"/>
        </w:rPr>
        <w:t>19.1 缺陷责任期的起算时间</w:t>
      </w:r>
      <w:bookmarkEnd w:id="817"/>
      <w:bookmarkEnd w:id="818"/>
      <w:bookmarkEnd w:id="819"/>
      <w:bookmarkEnd w:id="820"/>
    </w:p>
    <w:p w14:paraId="17E7E0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缺陷责任期自实际竣工日期起计算。在全部工程竣工验收前，已经发包人提前验收的单位工程，其缺陷责任期的起算日期相应提前。</w:t>
      </w:r>
    </w:p>
    <w:p w14:paraId="30B26A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1" w:name="_Toc18931"/>
      <w:bookmarkStart w:id="822" w:name="_Toc17874"/>
      <w:bookmarkStart w:id="823" w:name="_Toc234833092"/>
      <w:bookmarkStart w:id="824" w:name="_Toc16841"/>
      <w:r>
        <w:rPr>
          <w:rFonts w:hint="default" w:ascii="Times New Roman" w:hAnsi="Times New Roman" w:eastAsia="黑体" w:cs="Times New Roman"/>
          <w:b w:val="0"/>
          <w:sz w:val="24"/>
          <w:szCs w:val="24"/>
          <w:highlight w:val="none"/>
        </w:rPr>
        <w:t>19.2 缺陷责任</w:t>
      </w:r>
      <w:bookmarkEnd w:id="821"/>
      <w:bookmarkEnd w:id="822"/>
      <w:bookmarkEnd w:id="823"/>
      <w:bookmarkEnd w:id="824"/>
    </w:p>
    <w:p w14:paraId="2D1F7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19.2.1 承包人应在缺陷责任期内对已交付使用的工程承担缺陷责任。</w:t>
      </w:r>
    </w:p>
    <w:p w14:paraId="129D80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1DDCD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703F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19.2.4 承包人不能在合理时间内修复缺陷的，发包人可自行修复或委托其他人修复，所需费用和利润的承担，按第19.2.3项约定办理。</w:t>
      </w:r>
    </w:p>
    <w:p w14:paraId="6856F3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5" w:name="_Toc25925"/>
      <w:bookmarkStart w:id="826" w:name="_Toc28473"/>
      <w:bookmarkStart w:id="827" w:name="_Toc26044"/>
      <w:bookmarkStart w:id="828" w:name="_Toc234833093"/>
      <w:r>
        <w:rPr>
          <w:rFonts w:hint="default" w:ascii="Times New Roman" w:hAnsi="Times New Roman" w:eastAsia="黑体" w:cs="Times New Roman"/>
          <w:b w:val="0"/>
          <w:sz w:val="24"/>
          <w:szCs w:val="24"/>
          <w:highlight w:val="none"/>
        </w:rPr>
        <w:t>19.3 缺陷责任期的延长</w:t>
      </w:r>
      <w:bookmarkEnd w:id="825"/>
      <w:bookmarkEnd w:id="826"/>
      <w:bookmarkEnd w:id="827"/>
      <w:bookmarkEnd w:id="828"/>
    </w:p>
    <w:p w14:paraId="500057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DA0A1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9" w:name="_Toc23063"/>
      <w:bookmarkStart w:id="830" w:name="_Toc10764"/>
      <w:bookmarkStart w:id="831" w:name="_Toc234833094"/>
      <w:bookmarkStart w:id="832" w:name="_Toc722"/>
      <w:r>
        <w:rPr>
          <w:rFonts w:hint="default" w:ascii="Times New Roman" w:hAnsi="Times New Roman" w:eastAsia="黑体" w:cs="Times New Roman"/>
          <w:b w:val="0"/>
          <w:sz w:val="24"/>
          <w:szCs w:val="24"/>
          <w:highlight w:val="none"/>
        </w:rPr>
        <w:t>19.4 进一步试验和试运行</w:t>
      </w:r>
      <w:bookmarkEnd w:id="829"/>
      <w:bookmarkEnd w:id="830"/>
      <w:bookmarkEnd w:id="831"/>
      <w:bookmarkEnd w:id="832"/>
    </w:p>
    <w:p w14:paraId="35A2FBC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任何一项缺陷或损坏修复后，经检查证明其影响了工程或工程设备的使用性能，承包人应重新进行合同约定的试验和试运行，试验和试运行的全部费用应由责任方承担。</w:t>
      </w:r>
    </w:p>
    <w:p w14:paraId="6A055FD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3" w:name="_Toc7424"/>
      <w:bookmarkStart w:id="834" w:name="_Toc234833095"/>
      <w:bookmarkStart w:id="835" w:name="_Toc1336"/>
      <w:bookmarkStart w:id="836" w:name="_Toc5095"/>
      <w:r>
        <w:rPr>
          <w:rFonts w:hint="default" w:ascii="Times New Roman" w:hAnsi="Times New Roman" w:eastAsia="黑体" w:cs="Times New Roman"/>
          <w:b w:val="0"/>
          <w:sz w:val="24"/>
          <w:szCs w:val="24"/>
          <w:highlight w:val="none"/>
        </w:rPr>
        <w:t>19.5 承包人的进入权</w:t>
      </w:r>
      <w:bookmarkEnd w:id="833"/>
      <w:bookmarkEnd w:id="834"/>
      <w:bookmarkEnd w:id="835"/>
      <w:bookmarkEnd w:id="836"/>
      <w:r>
        <w:rPr>
          <w:rFonts w:hint="default" w:ascii="Times New Roman" w:hAnsi="Times New Roman" w:eastAsia="黑体" w:cs="Times New Roman"/>
          <w:b w:val="0"/>
          <w:sz w:val="24"/>
          <w:szCs w:val="24"/>
          <w:highlight w:val="none"/>
        </w:rPr>
        <w:t xml:space="preserve"> </w:t>
      </w:r>
    </w:p>
    <w:p w14:paraId="7F90C93A">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缺陷责任期内承包人为缺陷修复工作需要，有权进入工程现场，但应遵守发包人的保安和保密规定。</w:t>
      </w:r>
    </w:p>
    <w:p w14:paraId="63A504E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7" w:name="_Toc2337"/>
      <w:bookmarkStart w:id="838" w:name="_Toc12330"/>
      <w:bookmarkStart w:id="839" w:name="_Toc234833096"/>
      <w:bookmarkStart w:id="840" w:name="_Toc29339"/>
      <w:r>
        <w:rPr>
          <w:rFonts w:hint="default" w:ascii="Times New Roman" w:hAnsi="Times New Roman" w:eastAsia="黑体" w:cs="Times New Roman"/>
          <w:b w:val="0"/>
          <w:sz w:val="24"/>
          <w:szCs w:val="24"/>
          <w:highlight w:val="none"/>
        </w:rPr>
        <w:t>19.6 缺陷责任期终止证书</w:t>
      </w:r>
      <w:bookmarkEnd w:id="837"/>
      <w:bookmarkEnd w:id="838"/>
      <w:bookmarkEnd w:id="839"/>
      <w:bookmarkEnd w:id="840"/>
    </w:p>
    <w:p w14:paraId="01BF2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在第1.1.4.5目约定的缺陷责任期，包括根据第19.3款延长的期限终止后14天内，由监理人向承包人出具经发包人签认的缺陷责任期终止证书，并退还剩余的质量保证金。</w:t>
      </w:r>
    </w:p>
    <w:p w14:paraId="09EE4E6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1" w:name="_Toc7127"/>
      <w:bookmarkStart w:id="842" w:name="_Toc19327"/>
      <w:bookmarkStart w:id="843" w:name="_Toc20341"/>
      <w:bookmarkStart w:id="844" w:name="_Toc234833097"/>
      <w:r>
        <w:rPr>
          <w:rFonts w:hint="default" w:ascii="Times New Roman" w:hAnsi="Times New Roman" w:eastAsia="黑体" w:cs="Times New Roman"/>
          <w:b w:val="0"/>
          <w:sz w:val="24"/>
          <w:szCs w:val="24"/>
          <w:highlight w:val="none"/>
        </w:rPr>
        <w:t>19.7 保修责任</w:t>
      </w:r>
      <w:bookmarkEnd w:id="841"/>
      <w:bookmarkEnd w:id="842"/>
      <w:bookmarkEnd w:id="843"/>
      <w:bookmarkEnd w:id="844"/>
    </w:p>
    <w:p w14:paraId="1B52BD6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F9654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45" w:name="_Toc234833098"/>
      <w:bookmarkStart w:id="846" w:name="_Toc12018"/>
      <w:bookmarkStart w:id="847" w:name="_Toc13778"/>
      <w:bookmarkStart w:id="848" w:name="_Toc19060"/>
      <w:r>
        <w:rPr>
          <w:rFonts w:hint="default" w:ascii="Times New Roman" w:hAnsi="Times New Roman" w:eastAsia="黑体" w:cs="Times New Roman"/>
          <w:b w:val="0"/>
          <w:sz w:val="28"/>
          <w:szCs w:val="28"/>
          <w:highlight w:val="none"/>
        </w:rPr>
        <w:t>20. 保险</w:t>
      </w:r>
      <w:bookmarkEnd w:id="845"/>
      <w:bookmarkEnd w:id="846"/>
      <w:bookmarkEnd w:id="847"/>
      <w:bookmarkEnd w:id="848"/>
    </w:p>
    <w:p w14:paraId="5976D7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9" w:name="_Toc234833099"/>
      <w:bookmarkStart w:id="850" w:name="_Toc4841"/>
      <w:bookmarkStart w:id="851" w:name="_Toc1058"/>
      <w:bookmarkStart w:id="852" w:name="_Toc2606"/>
      <w:r>
        <w:rPr>
          <w:rFonts w:hint="default" w:ascii="Times New Roman" w:hAnsi="Times New Roman" w:eastAsia="黑体" w:cs="Times New Roman"/>
          <w:b w:val="0"/>
          <w:sz w:val="24"/>
          <w:szCs w:val="24"/>
          <w:highlight w:val="none"/>
        </w:rPr>
        <w:t>20.1工程保险</w:t>
      </w:r>
      <w:bookmarkEnd w:id="849"/>
      <w:bookmarkEnd w:id="850"/>
      <w:bookmarkEnd w:id="851"/>
      <w:bookmarkEnd w:id="852"/>
    </w:p>
    <w:p w14:paraId="4B98A7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FCA3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3" w:name="_Toc30523"/>
      <w:bookmarkStart w:id="854" w:name="_Toc15409"/>
      <w:bookmarkStart w:id="855" w:name="_Toc21060"/>
      <w:bookmarkStart w:id="856" w:name="_Toc234833100"/>
      <w:r>
        <w:rPr>
          <w:rFonts w:hint="default" w:ascii="Times New Roman" w:hAnsi="Times New Roman" w:eastAsia="黑体" w:cs="Times New Roman"/>
          <w:b w:val="0"/>
          <w:sz w:val="24"/>
          <w:szCs w:val="24"/>
          <w:highlight w:val="none"/>
        </w:rPr>
        <w:t>20.2人员工伤事故的保险</w:t>
      </w:r>
      <w:bookmarkEnd w:id="853"/>
      <w:bookmarkEnd w:id="854"/>
      <w:bookmarkEnd w:id="855"/>
      <w:bookmarkEnd w:id="856"/>
    </w:p>
    <w:p w14:paraId="169CDA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20.2.1 </w:t>
      </w:r>
      <w:r>
        <w:rPr>
          <w:rFonts w:hint="default" w:ascii="Times New Roman" w:hAnsi="Times New Roman" w:eastAsia="黑体" w:cs="Times New Roman"/>
          <w:sz w:val="24"/>
          <w:highlight w:val="none"/>
        </w:rPr>
        <w:t>承包人员工伤事故的保险</w:t>
      </w:r>
    </w:p>
    <w:p w14:paraId="2116081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承包人应依照有关法律规定参加工伤保险，为其履行合同所雇用的全部人员，缴纳工伤保险费，并要求其分包人也进行此项保险。</w:t>
      </w:r>
    </w:p>
    <w:p w14:paraId="0F9DB4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20.2.2</w:t>
      </w:r>
      <w:r>
        <w:rPr>
          <w:rFonts w:hint="default" w:ascii="Times New Roman" w:hAnsi="Times New Roman" w:eastAsia="黑体" w:cs="Times New Roman"/>
          <w:sz w:val="24"/>
          <w:highlight w:val="none"/>
        </w:rPr>
        <w:t>发包人员工伤事故的保险</w:t>
      </w:r>
    </w:p>
    <w:p w14:paraId="5CA59A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发包人应依照有关法律规定参加工伤保险，为其现场机构雇用的全部人员，缴纳工伤保险费，并要求其监理人也进行此项保险。</w:t>
      </w:r>
    </w:p>
    <w:p w14:paraId="20631C7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7" w:name="_Toc2194"/>
      <w:bookmarkStart w:id="858" w:name="_Toc20449"/>
      <w:bookmarkStart w:id="859" w:name="_Toc234833101"/>
      <w:bookmarkStart w:id="860" w:name="_Toc11127"/>
      <w:r>
        <w:rPr>
          <w:rFonts w:hint="default" w:ascii="Times New Roman" w:hAnsi="Times New Roman" w:eastAsia="黑体" w:cs="Times New Roman"/>
          <w:b w:val="0"/>
          <w:sz w:val="24"/>
          <w:szCs w:val="24"/>
          <w:highlight w:val="none"/>
        </w:rPr>
        <w:t>20.3 人身意外伤害险</w:t>
      </w:r>
      <w:bookmarkEnd w:id="857"/>
      <w:bookmarkEnd w:id="858"/>
      <w:bookmarkEnd w:id="859"/>
      <w:bookmarkEnd w:id="860"/>
    </w:p>
    <w:p w14:paraId="7B797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20.3.1发包人应在整个施工期间为其现场机构雇用的全部人员，投保人身意外伤害险，缴纳保险费，并要求其监理人也进行此项保险。</w:t>
      </w:r>
    </w:p>
    <w:p w14:paraId="52C9BC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20.3.2 承包人应在整个施工期间为其现场机构雇用的全部人员，投保人身意外伤害险，缴纳保险费，并要求其分包人也进行此项保险。</w:t>
      </w:r>
    </w:p>
    <w:p w14:paraId="537C68F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1" w:name="_Toc234833102"/>
      <w:bookmarkStart w:id="862" w:name="_Toc27566"/>
      <w:bookmarkStart w:id="863" w:name="_Toc27944"/>
      <w:bookmarkStart w:id="864" w:name="_Toc23644"/>
      <w:r>
        <w:rPr>
          <w:rFonts w:hint="default" w:ascii="Times New Roman" w:hAnsi="Times New Roman" w:eastAsia="黑体" w:cs="Times New Roman"/>
          <w:b w:val="0"/>
          <w:sz w:val="24"/>
          <w:szCs w:val="24"/>
          <w:highlight w:val="none"/>
        </w:rPr>
        <w:t>20.4 第三者责任险</w:t>
      </w:r>
      <w:bookmarkEnd w:id="861"/>
      <w:bookmarkEnd w:id="862"/>
      <w:bookmarkEnd w:id="863"/>
      <w:bookmarkEnd w:id="864"/>
    </w:p>
    <w:p w14:paraId="536188E7">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18A7EC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20.4.2 在缺陷责任期终止证书颁发前，承包人应以承包人和发包人的共同名义，投保第20.4.1项约定的第三者责任险，其保险费率、保险金额等有关内容在专用合同条款中约定。</w:t>
      </w:r>
    </w:p>
    <w:p w14:paraId="6E33049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5" w:name="_Toc20329"/>
      <w:bookmarkStart w:id="866" w:name="_Toc15956"/>
      <w:bookmarkStart w:id="867" w:name="_Toc17223"/>
      <w:bookmarkStart w:id="868" w:name="_Toc234833103"/>
      <w:r>
        <w:rPr>
          <w:rFonts w:hint="default" w:ascii="Times New Roman" w:hAnsi="Times New Roman" w:eastAsia="黑体" w:cs="Times New Roman"/>
          <w:b w:val="0"/>
          <w:sz w:val="24"/>
          <w:szCs w:val="24"/>
          <w:highlight w:val="none"/>
        </w:rPr>
        <w:t>20.5 其他保险</w:t>
      </w:r>
      <w:bookmarkEnd w:id="865"/>
      <w:bookmarkEnd w:id="866"/>
      <w:bookmarkEnd w:id="867"/>
      <w:bookmarkEnd w:id="868"/>
    </w:p>
    <w:p w14:paraId="19E06E3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除专用合同条款另有约定外，承包人应为其施工设备、进场的材料和工程设备等办理保险。</w:t>
      </w:r>
    </w:p>
    <w:p w14:paraId="2F4D666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9" w:name="_Toc16557"/>
      <w:bookmarkStart w:id="870" w:name="_Toc28939"/>
      <w:bookmarkStart w:id="871" w:name="_Toc25129"/>
      <w:bookmarkStart w:id="872" w:name="_Toc234833104"/>
      <w:r>
        <w:rPr>
          <w:rFonts w:hint="default" w:ascii="Times New Roman" w:hAnsi="Times New Roman" w:eastAsia="黑体" w:cs="Times New Roman"/>
          <w:b w:val="0"/>
          <w:sz w:val="24"/>
          <w:szCs w:val="24"/>
          <w:highlight w:val="none"/>
        </w:rPr>
        <w:t>20.6 对各项保险的一般要求</w:t>
      </w:r>
      <w:bookmarkEnd w:id="869"/>
      <w:bookmarkEnd w:id="870"/>
      <w:bookmarkEnd w:id="871"/>
      <w:bookmarkEnd w:id="872"/>
    </w:p>
    <w:p w14:paraId="337B689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20.6.1 </w:t>
      </w:r>
      <w:r>
        <w:rPr>
          <w:rFonts w:hint="default" w:ascii="Times New Roman" w:hAnsi="Times New Roman" w:eastAsia="黑体" w:cs="Times New Roman"/>
          <w:sz w:val="24"/>
          <w:highlight w:val="none"/>
        </w:rPr>
        <w:t>保险凭证</w:t>
      </w:r>
    </w:p>
    <w:p w14:paraId="3227C93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承包人应在专用合同条款约定的期限内向发包人提交各项保险生效的证据和保险单副本，保险单必须与专用合同条款约定的条件保持一致。</w:t>
      </w:r>
    </w:p>
    <w:p w14:paraId="1812E33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20.6.2</w:t>
      </w:r>
      <w:r>
        <w:rPr>
          <w:rFonts w:hint="default" w:ascii="Times New Roman" w:hAnsi="Times New Roman" w:eastAsia="黑体" w:cs="Times New Roman"/>
          <w:sz w:val="24"/>
          <w:highlight w:val="none"/>
        </w:rPr>
        <w:t>保险合同条款的变动</w:t>
      </w:r>
    </w:p>
    <w:p w14:paraId="4E910BF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承包人需要变动保险合同条款时，应事先征得发包人同意，并通知监理人。保险人作出变动的，承包人应在收到保险人通知后立即通知发包人和监理人。</w:t>
      </w:r>
    </w:p>
    <w:p w14:paraId="2A5B153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20.6.3 </w:t>
      </w:r>
      <w:r>
        <w:rPr>
          <w:rFonts w:hint="default" w:ascii="Times New Roman" w:hAnsi="Times New Roman" w:eastAsia="黑体" w:cs="Times New Roman"/>
          <w:sz w:val="24"/>
          <w:highlight w:val="none"/>
        </w:rPr>
        <w:t>持续保险</w:t>
      </w:r>
    </w:p>
    <w:p w14:paraId="10D1F7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承包人应与保险人保持联系，使保险人能够随时了解工程实施中的变动，并确保按保险合同条款要求持续保险。</w:t>
      </w:r>
    </w:p>
    <w:p w14:paraId="79B7BF3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20.6.4 </w:t>
      </w:r>
      <w:r>
        <w:rPr>
          <w:rFonts w:hint="default" w:ascii="Times New Roman" w:hAnsi="Times New Roman" w:eastAsia="黑体" w:cs="Times New Roman"/>
          <w:sz w:val="24"/>
          <w:highlight w:val="none"/>
        </w:rPr>
        <w:t>保险金不足的补偿</w:t>
      </w:r>
    </w:p>
    <w:p w14:paraId="1CCBB2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保险金不足以补偿损失的，应由承包人和（或）发包人按合同约定负责补偿。</w:t>
      </w:r>
    </w:p>
    <w:p w14:paraId="1FE7DA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20.6.5 </w:t>
      </w:r>
      <w:r>
        <w:rPr>
          <w:rFonts w:hint="default" w:ascii="Times New Roman" w:hAnsi="Times New Roman" w:eastAsia="黑体" w:cs="Times New Roman"/>
          <w:sz w:val="24"/>
          <w:highlight w:val="none"/>
        </w:rPr>
        <w:t>未按约定投保的补救</w:t>
      </w:r>
    </w:p>
    <w:p w14:paraId="1D15E3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（1）由于负有投保义务的一方当事人未按合同约定办理保险，或未能使保险持续有效的，另一方当事人可代为办理，所需费用由对方当事人承担。</w:t>
      </w:r>
    </w:p>
    <w:p w14:paraId="548FE5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（2）由于负有投保义务的一方当事人未按合同约定办理某项保险，导致受益人未能得到保险人的赔偿，原应从该项保险得到的保险金应由负有投保义务的一方当事人支付。</w:t>
      </w:r>
    </w:p>
    <w:p w14:paraId="72BD8B6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20.6.6</w:t>
      </w:r>
      <w:r>
        <w:rPr>
          <w:rFonts w:hint="default" w:ascii="Times New Roman" w:hAnsi="Times New Roman" w:eastAsia="黑体" w:cs="Times New Roman"/>
          <w:sz w:val="24"/>
          <w:highlight w:val="none"/>
        </w:rPr>
        <w:t>报告义务</w:t>
      </w:r>
    </w:p>
    <w:p w14:paraId="3C88439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当保险事故发生时，投保人应按照保险单规定的条件和期限及时向保险人报告。</w:t>
      </w:r>
    </w:p>
    <w:p w14:paraId="6C2B7B4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73" w:name="_Toc234833105"/>
      <w:bookmarkStart w:id="874" w:name="_Toc27736"/>
      <w:bookmarkStart w:id="875" w:name="_Toc25184"/>
      <w:bookmarkStart w:id="876" w:name="_Toc2466"/>
      <w:r>
        <w:rPr>
          <w:rFonts w:hint="default" w:ascii="Times New Roman" w:hAnsi="Times New Roman" w:eastAsia="黑体" w:cs="Times New Roman"/>
          <w:b w:val="0"/>
          <w:sz w:val="28"/>
          <w:szCs w:val="28"/>
          <w:highlight w:val="none"/>
        </w:rPr>
        <w:t>21. 不可抗力</w:t>
      </w:r>
      <w:bookmarkEnd w:id="873"/>
      <w:bookmarkEnd w:id="874"/>
      <w:bookmarkEnd w:id="875"/>
      <w:bookmarkEnd w:id="876"/>
    </w:p>
    <w:p w14:paraId="5AAC8A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77" w:name="_Toc11379"/>
      <w:bookmarkStart w:id="878" w:name="_Toc234833106"/>
      <w:bookmarkStart w:id="879" w:name="_Toc965"/>
      <w:bookmarkStart w:id="880" w:name="_Toc851"/>
      <w:r>
        <w:rPr>
          <w:rFonts w:hint="default" w:ascii="Times New Roman" w:hAnsi="Times New Roman" w:eastAsia="黑体" w:cs="Times New Roman"/>
          <w:b w:val="0"/>
          <w:sz w:val="24"/>
          <w:szCs w:val="24"/>
          <w:highlight w:val="none"/>
        </w:rPr>
        <w:t>21.1 不可抗力的确认</w:t>
      </w:r>
      <w:bookmarkEnd w:id="877"/>
      <w:bookmarkEnd w:id="878"/>
      <w:bookmarkEnd w:id="879"/>
      <w:bookmarkEnd w:id="880"/>
    </w:p>
    <w:p w14:paraId="1B09E4F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3A870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0772C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1" w:name="_Toc22207"/>
      <w:bookmarkStart w:id="882" w:name="_Toc234833107"/>
      <w:bookmarkStart w:id="883" w:name="_Toc18922"/>
      <w:bookmarkStart w:id="884" w:name="_Toc22545"/>
      <w:r>
        <w:rPr>
          <w:rFonts w:hint="default" w:ascii="Times New Roman" w:hAnsi="Times New Roman" w:eastAsia="黑体" w:cs="Times New Roman"/>
          <w:b w:val="0"/>
          <w:sz w:val="24"/>
          <w:szCs w:val="24"/>
          <w:highlight w:val="none"/>
        </w:rPr>
        <w:t>21.2 不可抗力的通知</w:t>
      </w:r>
      <w:bookmarkEnd w:id="881"/>
      <w:bookmarkEnd w:id="882"/>
      <w:bookmarkEnd w:id="883"/>
      <w:bookmarkEnd w:id="884"/>
    </w:p>
    <w:p w14:paraId="32522D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21.2.1 合同一方当事人遇到不可抗力事件，使其履行合同义务受到阻碍时，应立即通知合同另一方当事人和监理人，书面说明不可抗力和受阻碍的详细情况，并提供必要的证明。</w:t>
      </w:r>
    </w:p>
    <w:p w14:paraId="7758EE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6927AD9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5" w:name="_Toc12246"/>
      <w:bookmarkStart w:id="886" w:name="_Toc234833108"/>
      <w:bookmarkStart w:id="887" w:name="_Toc15417"/>
      <w:bookmarkStart w:id="888" w:name="_Toc1838"/>
      <w:r>
        <w:rPr>
          <w:rFonts w:hint="default" w:ascii="Times New Roman" w:hAnsi="Times New Roman" w:eastAsia="黑体" w:cs="Times New Roman"/>
          <w:b w:val="0"/>
          <w:sz w:val="24"/>
          <w:szCs w:val="24"/>
          <w:highlight w:val="none"/>
        </w:rPr>
        <w:t>21.3 不可抗力后果及其处理</w:t>
      </w:r>
      <w:bookmarkEnd w:id="885"/>
      <w:bookmarkEnd w:id="886"/>
      <w:bookmarkEnd w:id="887"/>
      <w:bookmarkEnd w:id="888"/>
    </w:p>
    <w:p w14:paraId="1CFC0A0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21.3.1 </w:t>
      </w:r>
      <w:r>
        <w:rPr>
          <w:rFonts w:hint="default" w:ascii="Times New Roman" w:hAnsi="Times New Roman" w:eastAsia="黑体" w:cs="Times New Roman"/>
          <w:sz w:val="24"/>
          <w:highlight w:val="none"/>
        </w:rPr>
        <w:t>不可抗力造成损害的责任</w:t>
      </w:r>
    </w:p>
    <w:p w14:paraId="4E5622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除专用合同条款另有约定外，不可抗力导致的人员伤亡、财产损失、费用增加和（或）工期延误等后果，由合同双方按以下原则承担：</w:t>
      </w:r>
    </w:p>
    <w:p w14:paraId="562C24B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（1）永久工程，包括已运至施工场地的材料和工程设备的损害，以及因工程损害造成的第三者人员伤亡和财产损失由发包人承担；</w:t>
      </w:r>
    </w:p>
    <w:p w14:paraId="62AA2E4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（2）承包人设备的损坏由承包人承担；</w:t>
      </w:r>
    </w:p>
    <w:p w14:paraId="224074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（3）发包人和承包人各自承担其人员伤亡和其他财产损失及其相关费用；</w:t>
      </w:r>
    </w:p>
    <w:p w14:paraId="0D3684B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（4）承包人的停工损失由承包人承担，但停工期间应监理人要求照管工程和清理、修复工程的金额由发包人承担；</w:t>
      </w:r>
    </w:p>
    <w:p w14:paraId="086B0B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（5）不能按期竣工的，应合理延长工期，承包人不需支付逾期竣工违约金。发包人要求赶工的，承包人应采取赶工措施，赶工费用由发包人承担。</w:t>
      </w:r>
    </w:p>
    <w:p w14:paraId="1511D0F6">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21.3.2 </w:t>
      </w:r>
      <w:r>
        <w:rPr>
          <w:rFonts w:hint="default" w:ascii="Times New Roman" w:hAnsi="Times New Roman" w:eastAsia="黑体" w:cs="Times New Roman"/>
          <w:sz w:val="24"/>
          <w:highlight w:val="none"/>
        </w:rPr>
        <w:t>延迟履行期间发生的不可抗力</w:t>
      </w:r>
    </w:p>
    <w:p w14:paraId="1E2B89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合同一方当事人延迟履行，在延迟履行期间发生不可抗力的，不免除其责任。</w:t>
      </w:r>
    </w:p>
    <w:p w14:paraId="070AD1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21.3.3 </w:t>
      </w:r>
      <w:r>
        <w:rPr>
          <w:rFonts w:hint="default" w:ascii="Times New Roman" w:hAnsi="Times New Roman" w:eastAsia="黑体" w:cs="Times New Roman"/>
          <w:sz w:val="24"/>
          <w:highlight w:val="none"/>
        </w:rPr>
        <w:t>避免和减少不可抗力损失</w:t>
      </w:r>
    </w:p>
    <w:p w14:paraId="2CFCA6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不可抗力发生后，发包人和承包人均应采取措施尽量避免和减少损失的扩大，任何一方没有采取有效措施导致损失扩大的，应对扩大的损失承担责任。</w:t>
      </w:r>
    </w:p>
    <w:p w14:paraId="2C70DBF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32CB83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28E35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89" w:name="_Toc5176"/>
      <w:bookmarkStart w:id="890" w:name="_Toc12831"/>
      <w:bookmarkStart w:id="891" w:name="_Toc13366"/>
      <w:bookmarkStart w:id="892" w:name="_Toc234833109"/>
      <w:r>
        <w:rPr>
          <w:rFonts w:hint="default" w:ascii="Times New Roman" w:hAnsi="Times New Roman" w:eastAsia="黑体" w:cs="Times New Roman"/>
          <w:b w:val="0"/>
          <w:sz w:val="28"/>
          <w:szCs w:val="28"/>
          <w:highlight w:val="none"/>
        </w:rPr>
        <w:t>22. 违约</w:t>
      </w:r>
      <w:bookmarkEnd w:id="889"/>
      <w:bookmarkEnd w:id="890"/>
      <w:bookmarkEnd w:id="891"/>
      <w:bookmarkEnd w:id="892"/>
    </w:p>
    <w:p w14:paraId="0E5AE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3" w:name="_Toc8987"/>
      <w:bookmarkStart w:id="894" w:name="_Toc234833110"/>
      <w:bookmarkStart w:id="895" w:name="_Toc18021"/>
      <w:bookmarkStart w:id="896" w:name="_Toc723"/>
      <w:r>
        <w:rPr>
          <w:rFonts w:hint="default" w:ascii="Times New Roman" w:hAnsi="Times New Roman" w:eastAsia="黑体" w:cs="Times New Roman"/>
          <w:b w:val="0"/>
          <w:sz w:val="24"/>
          <w:szCs w:val="24"/>
          <w:highlight w:val="none"/>
        </w:rPr>
        <w:t>22.1 承包人违约</w:t>
      </w:r>
      <w:bookmarkEnd w:id="893"/>
      <w:bookmarkEnd w:id="894"/>
      <w:bookmarkEnd w:id="895"/>
      <w:bookmarkEnd w:id="896"/>
    </w:p>
    <w:p w14:paraId="0D15B3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18488F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在履行合同过程中发生的下列情况属承包人违约：</w:t>
      </w:r>
    </w:p>
    <w:p w14:paraId="48F40C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（1）承包人违反第1.8款或第4.3款的约定，私自将合同的全部或部分权利转让给其他人，或私自将合同的全部或部分义务转移给其他人；</w:t>
      </w:r>
    </w:p>
    <w:p w14:paraId="4426F4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（2）承包人违反第5.3款或第6.4款的约定，未经监理人批准，私自将已按合同约定进入施工场地的施工设备、临时设施或材料撤离施工场地；</w:t>
      </w:r>
    </w:p>
    <w:p w14:paraId="6C1F07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（3）承包人违反第5.4款的约定使用了不合格材料或工程设备，工程质量达不到标准要求，又拒绝清除不合格工程；</w:t>
      </w:r>
    </w:p>
    <w:p w14:paraId="2B03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（4）承包人未能按合同进度计划及时完成合同约定的工作，已造成或预期造成工期延误；</w:t>
      </w:r>
    </w:p>
    <w:p w14:paraId="09AB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（5）承包人在缺陷责任期内，未能对工程接收证书所列的缺陷清单的内容或缺陷责任期内发生的缺陷进行修复，而又拒绝按监理人指示再进行修补；</w:t>
      </w:r>
    </w:p>
    <w:p w14:paraId="4C9471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（6）承包人无法继续履行或明确表示不履行或实质上已停止履行合同；</w:t>
      </w:r>
    </w:p>
    <w:p w14:paraId="307A0F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（7）承包人不按合同约定履行义务的其他情况。</w:t>
      </w:r>
    </w:p>
    <w:p w14:paraId="721A11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3F8A6A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（1）承包人发生第22.1.1（6）目约定的违约情况时，发包人可通知承包人立即解除合同，并按有关法律处理。</w:t>
      </w:r>
    </w:p>
    <w:p w14:paraId="1F411E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（2）承包人发生除第22.1.1（6）目约定以外的其他违约情况时，监理人可向承包人发出整改通知，要求其在指定的期限内改正。承包人应承担其违约所引起的费用增加和（或）工期延误。</w:t>
      </w:r>
    </w:p>
    <w:p w14:paraId="28BB30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（3）经检查证明承包人已采取了有效措施纠正违约行为，具备复工条件的，可由监理人签发复工通知复工。</w:t>
      </w:r>
    </w:p>
    <w:p w14:paraId="545C10B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22.1.3 </w:t>
      </w:r>
      <w:r>
        <w:rPr>
          <w:rFonts w:hint="default" w:ascii="Times New Roman" w:hAnsi="Times New Roman" w:eastAsia="黑体" w:cs="Times New Roman"/>
          <w:sz w:val="24"/>
          <w:highlight w:val="none"/>
        </w:rPr>
        <w:t>承包人违约解除合同</w:t>
      </w:r>
    </w:p>
    <w:p w14:paraId="5815AE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05C96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22.1.4 </w:t>
      </w:r>
      <w:r>
        <w:rPr>
          <w:rFonts w:hint="default" w:ascii="Times New Roman" w:hAnsi="Times New Roman" w:eastAsia="黑体" w:cs="Times New Roman"/>
          <w:sz w:val="24"/>
          <w:highlight w:val="none"/>
        </w:rPr>
        <w:t>合同解除后的估价、付款和结清</w:t>
      </w:r>
    </w:p>
    <w:p w14:paraId="4A70776B">
      <w:pPr>
        <w:pageBreakBefore w:val="0"/>
        <w:tabs>
          <w:tab w:val="left" w:pos="54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（1）合同解除后，监理人按第3.5款商定或确定承包人实际完成工作的价值，以及承包人已提供的材料、施工设备、工程设备和临时工程等的价值。 </w:t>
      </w:r>
    </w:p>
    <w:p w14:paraId="0AF98F2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（2）合同解除后，发包人应暂停对承包人的一切付款，查清各项付款和已扣款金额，包括承包人应支付的违约金。 </w:t>
      </w:r>
    </w:p>
    <w:p w14:paraId="2CE7332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（3）合同解除后，发包人应按第23.4款的约定向承包人索赔由于解除合同给发包人造成的损失。</w:t>
      </w:r>
    </w:p>
    <w:p w14:paraId="5C5C055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（4）合同双方确认上述往来款项后，出具最终结清付款证书，结清全部合同款项。</w:t>
      </w:r>
    </w:p>
    <w:p w14:paraId="1313C0B1">
      <w:pPr>
        <w:pageBreakBefore w:val="0"/>
        <w:kinsoku/>
        <w:wordWrap w:val="0"/>
        <w:bidi w:val="0"/>
        <w:spacing w:line="400" w:lineRule="atLeast"/>
        <w:ind w:right="25" w:rightChars="12"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（5）发包人和承包人未能就解除合同后的结清达成一致而形成争议的，按第24条的约定办理。</w:t>
      </w:r>
    </w:p>
    <w:p w14:paraId="09BF802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22.1.5 </w:t>
      </w:r>
      <w:r>
        <w:rPr>
          <w:rFonts w:hint="default" w:ascii="Times New Roman" w:hAnsi="Times New Roman" w:eastAsia="黑体" w:cs="Times New Roman"/>
          <w:sz w:val="24"/>
          <w:highlight w:val="none"/>
        </w:rPr>
        <w:t>协议利益的转让</w:t>
      </w:r>
    </w:p>
    <w:p w14:paraId="377626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095A61E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22.1.6 </w:t>
      </w:r>
      <w:r>
        <w:rPr>
          <w:rFonts w:hint="default" w:ascii="Times New Roman" w:hAnsi="Times New Roman" w:eastAsia="黑体" w:cs="Times New Roman"/>
          <w:sz w:val="24"/>
          <w:highlight w:val="none"/>
        </w:rPr>
        <w:t>紧急情况下无能力或不愿进行抢救</w:t>
      </w:r>
    </w:p>
    <w:p w14:paraId="2D0227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1A81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7" w:name="_Toc18762"/>
      <w:bookmarkStart w:id="898" w:name="_Toc18188"/>
      <w:bookmarkStart w:id="899" w:name="_Toc13222"/>
      <w:bookmarkStart w:id="900" w:name="_Toc234833111"/>
      <w:r>
        <w:rPr>
          <w:rFonts w:hint="default" w:ascii="Times New Roman" w:hAnsi="Times New Roman" w:eastAsia="黑体" w:cs="Times New Roman"/>
          <w:b w:val="0"/>
          <w:sz w:val="24"/>
          <w:szCs w:val="24"/>
          <w:highlight w:val="none"/>
        </w:rPr>
        <w:t>22.2 发包人违约</w:t>
      </w:r>
      <w:bookmarkEnd w:id="897"/>
      <w:bookmarkEnd w:id="898"/>
      <w:bookmarkEnd w:id="899"/>
      <w:bookmarkEnd w:id="900"/>
    </w:p>
    <w:p w14:paraId="300319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FEEE13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在履行合同过程中发生的下列情形，属发包人违约：</w:t>
      </w:r>
    </w:p>
    <w:p w14:paraId="39057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（1）发包人未能按合同约定支付预付款或合同价款，或拖延、拒绝批准付款申请和支付凭证，导致付款延误的； </w:t>
      </w:r>
    </w:p>
    <w:p w14:paraId="532A129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（2）发包人原因造成停工的；</w:t>
      </w:r>
    </w:p>
    <w:p w14:paraId="6E0DDC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（3）监理人无正当理由没有在约定期限内发出复工指示，导致承包人无法复工的；</w:t>
      </w:r>
    </w:p>
    <w:p w14:paraId="3825E3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（4）发包人无法继续履行或明确表示不履行或实质上已停止履行合同的；</w:t>
      </w:r>
    </w:p>
    <w:p w14:paraId="36A024F6">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（5）发包人不履行合同约定其他义务的。</w:t>
      </w:r>
    </w:p>
    <w:p w14:paraId="7C99329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4257F6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01AB19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22.2.3 </w:t>
      </w:r>
      <w:r>
        <w:rPr>
          <w:rFonts w:hint="default" w:ascii="Times New Roman" w:hAnsi="Times New Roman" w:eastAsia="黑体" w:cs="Times New Roman"/>
          <w:sz w:val="24"/>
          <w:highlight w:val="none"/>
        </w:rPr>
        <w:t>发包人违约解除合同</w:t>
      </w:r>
      <w:r>
        <w:rPr>
          <w:rFonts w:hint="default" w:ascii="Times New Roman" w:hAnsi="Times New Roman" w:cs="Times New Roman"/>
          <w:sz w:val="24"/>
          <w:highlight w:val="none"/>
        </w:rPr>
        <w:t xml:space="preserve"> </w:t>
      </w:r>
    </w:p>
    <w:p w14:paraId="4D0D48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（1）发生第22.2.1（4）目的违约情况时，承包人可书面通知发包人解除合同。   </w:t>
      </w:r>
    </w:p>
    <w:p w14:paraId="5EE747C1">
      <w:pPr>
        <w:pageBreakBefore w:val="0"/>
        <w:tabs>
          <w:tab w:val="left" w:pos="720"/>
          <w:tab w:val="left" w:pos="90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1B1B00C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652DB2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因发包人违约解除合同的，发包人应在解除合同后28天内向承包人支付下列金额，承包人应在此期限内及时向发包人提交要求支付下列金额的有关资料和凭证：</w:t>
      </w:r>
    </w:p>
    <w:p w14:paraId="460860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（1）合同解除日以前所完成工作的价款；</w:t>
      </w:r>
    </w:p>
    <w:p w14:paraId="03BEA8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（2）承包人为该工程施工订购并已付款的材料、工程设备和其他物品的金额。发包人付还后，该材料、工程设备和其他物品归发包人所有；</w:t>
      </w:r>
    </w:p>
    <w:p w14:paraId="52BBBD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（3）承包人为完成工程所发生的，而发包人未支付的金额；</w:t>
      </w:r>
    </w:p>
    <w:p w14:paraId="7EEFAF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（4）承包人撤离施工场地以及遣散承包人人员的金额；</w:t>
      </w:r>
    </w:p>
    <w:p w14:paraId="7BC7CB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（5）由于解除合同应赔偿的承包人损失；</w:t>
      </w:r>
    </w:p>
    <w:p w14:paraId="4C6C3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（6）按合同约定在合同解除日前应支付给承包人的其他金额。</w:t>
      </w:r>
    </w:p>
    <w:p w14:paraId="6343D2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发包人应按本项约定支付上述金额并退还质量保证金和履约担保，但有权要求承包人支付应偿还给发包人的各项金额。</w:t>
      </w:r>
    </w:p>
    <w:p w14:paraId="58B2812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22.2.5 解除合同后的承包人撤离</w:t>
      </w:r>
    </w:p>
    <w:p w14:paraId="09F4453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E9AEB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1" w:name="_Toc27072"/>
      <w:bookmarkStart w:id="902" w:name="_Toc1197"/>
      <w:bookmarkStart w:id="903" w:name="_Toc234833112"/>
      <w:bookmarkStart w:id="904" w:name="_Toc20900"/>
      <w:r>
        <w:rPr>
          <w:rFonts w:hint="default" w:ascii="Times New Roman" w:hAnsi="Times New Roman" w:eastAsia="黑体" w:cs="Times New Roman"/>
          <w:b w:val="0"/>
          <w:sz w:val="24"/>
          <w:szCs w:val="24"/>
          <w:highlight w:val="none"/>
        </w:rPr>
        <w:t>22.3第三人造成的违约</w:t>
      </w:r>
      <w:bookmarkEnd w:id="901"/>
      <w:bookmarkEnd w:id="902"/>
      <w:bookmarkEnd w:id="903"/>
      <w:bookmarkEnd w:id="904"/>
    </w:p>
    <w:p w14:paraId="0D0574A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在履行合同过程中，一方当事人因第三人的原因造成违约的，应当向对方当事人承担违约责任。一方当事人和第三人之间的纠纷，依照法律规定或者按照约定解决。</w:t>
      </w:r>
    </w:p>
    <w:p w14:paraId="740A49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05" w:name="_Toc26715"/>
      <w:bookmarkStart w:id="906" w:name="_Toc234833113"/>
      <w:bookmarkStart w:id="907" w:name="_Toc15487"/>
      <w:bookmarkStart w:id="908" w:name="_Toc29983"/>
      <w:r>
        <w:rPr>
          <w:rFonts w:hint="default" w:ascii="Times New Roman" w:hAnsi="Times New Roman" w:eastAsia="黑体" w:cs="Times New Roman"/>
          <w:b w:val="0"/>
          <w:sz w:val="28"/>
          <w:szCs w:val="28"/>
          <w:highlight w:val="none"/>
        </w:rPr>
        <w:t>23. 索赔</w:t>
      </w:r>
      <w:bookmarkEnd w:id="905"/>
      <w:bookmarkEnd w:id="906"/>
      <w:bookmarkEnd w:id="907"/>
      <w:bookmarkEnd w:id="908"/>
    </w:p>
    <w:p w14:paraId="500F5BA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9" w:name="_Toc234833114"/>
      <w:bookmarkStart w:id="910" w:name="_Toc8289"/>
      <w:bookmarkStart w:id="911" w:name="_Toc3879"/>
      <w:bookmarkStart w:id="912" w:name="_Toc11348"/>
      <w:r>
        <w:rPr>
          <w:rFonts w:hint="default" w:ascii="Times New Roman" w:hAnsi="Times New Roman" w:eastAsia="黑体" w:cs="Times New Roman"/>
          <w:b w:val="0"/>
          <w:sz w:val="24"/>
          <w:szCs w:val="24"/>
          <w:highlight w:val="none"/>
        </w:rPr>
        <w:t>23.1 承包人索赔的提出</w:t>
      </w:r>
      <w:bookmarkEnd w:id="909"/>
      <w:bookmarkEnd w:id="910"/>
      <w:bookmarkEnd w:id="911"/>
      <w:bookmarkEnd w:id="912"/>
    </w:p>
    <w:p w14:paraId="77C590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根据合同约定，承包人认为有权得到追加付款和（或）延长工期的，应按以下程序向发包人提出索赔：</w:t>
      </w:r>
    </w:p>
    <w:p w14:paraId="7A3D20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6B16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AC0AB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（3）索赔事件具有连续影响的，承包人应按合理时间间隔继续递交延续索赔通知，说明连续影响的实际情况和记录，列出累计的追加付款金额和（或）工期延长天数；</w:t>
      </w:r>
    </w:p>
    <w:p w14:paraId="22F683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（4）在索赔事件影响结束后的28天内，承包人应向监理人递交最终索赔通知书，说明最终要求索赔的追加付款金额和延长的工期，并附必要的记录和证明材料。</w:t>
      </w:r>
    </w:p>
    <w:p w14:paraId="263848B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3" w:name="_Toc31104"/>
      <w:bookmarkStart w:id="914" w:name="_Toc31313"/>
      <w:bookmarkStart w:id="915" w:name="_Toc234833115"/>
      <w:bookmarkStart w:id="916" w:name="_Toc17762"/>
      <w:r>
        <w:rPr>
          <w:rFonts w:hint="default" w:ascii="Times New Roman" w:hAnsi="Times New Roman" w:eastAsia="黑体" w:cs="Times New Roman"/>
          <w:b w:val="0"/>
          <w:sz w:val="24"/>
          <w:szCs w:val="24"/>
          <w:highlight w:val="none"/>
        </w:rPr>
        <w:t>23.2 承包人索赔处理程序</w:t>
      </w:r>
      <w:bookmarkEnd w:id="913"/>
      <w:bookmarkEnd w:id="914"/>
      <w:bookmarkEnd w:id="915"/>
      <w:bookmarkEnd w:id="916"/>
    </w:p>
    <w:p w14:paraId="02694B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（1）监理人收到承包人提交的索赔通知书后，应及时审查索赔通知书的内容、查验承包人的记录和证明材料，必要时监理人可要求承包人提交全部原始记录副本。</w:t>
      </w:r>
    </w:p>
    <w:p w14:paraId="75CFE6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（2）监理人应按第3.5款商定或确定追加的付款和（或）延长的工期，并在收到上述索赔通知书或有关索赔的进一步证明材料后的42天内，将索赔处理结果答复承包人。</w:t>
      </w:r>
    </w:p>
    <w:p w14:paraId="191240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（3）承包人接受索赔处理结果的，发包人应在作出索赔处理结果答复后28天内完成赔付。承包人不接受索赔处理结果的，按第24条的约定办理。</w:t>
      </w:r>
    </w:p>
    <w:p w14:paraId="7C179BE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7" w:name="_Toc29287"/>
      <w:bookmarkStart w:id="918" w:name="_Toc616"/>
      <w:bookmarkStart w:id="919" w:name="_Toc19947"/>
      <w:bookmarkStart w:id="920" w:name="_Toc234833116"/>
      <w:r>
        <w:rPr>
          <w:rFonts w:hint="default" w:ascii="Times New Roman" w:hAnsi="Times New Roman" w:eastAsia="黑体" w:cs="Times New Roman"/>
          <w:b w:val="0"/>
          <w:sz w:val="24"/>
          <w:szCs w:val="24"/>
          <w:highlight w:val="none"/>
        </w:rPr>
        <w:t>23.3 承包人提出索赔的期限</w:t>
      </w:r>
      <w:bookmarkEnd w:id="917"/>
      <w:bookmarkEnd w:id="918"/>
      <w:bookmarkEnd w:id="919"/>
      <w:bookmarkEnd w:id="920"/>
    </w:p>
    <w:p w14:paraId="1ADBB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23.3.1 承包人按第17.5款的约定接受了竣工付款证书后，应被认为已无权再提出在合同工程接收证书颁发前所发生的任何索赔。</w:t>
      </w:r>
    </w:p>
    <w:p w14:paraId="1EDC4C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23.3.2 承包人按第17.6款的约定提交的最终结清申请单中，只限于提出工程接收证书颁发后发生的索赔。提出索赔的期限自接受最终结清证书时终止。</w:t>
      </w:r>
    </w:p>
    <w:p w14:paraId="22E9CD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1" w:name="_Toc234833117"/>
      <w:bookmarkStart w:id="922" w:name="_Toc9765"/>
      <w:bookmarkStart w:id="923" w:name="_Toc6220"/>
      <w:bookmarkStart w:id="924" w:name="_Toc9058"/>
      <w:r>
        <w:rPr>
          <w:rFonts w:hint="default" w:ascii="Times New Roman" w:hAnsi="Times New Roman" w:eastAsia="黑体" w:cs="Times New Roman"/>
          <w:b w:val="0"/>
          <w:sz w:val="24"/>
          <w:szCs w:val="24"/>
          <w:highlight w:val="none"/>
        </w:rPr>
        <w:t>23.4 发包人的索赔</w:t>
      </w:r>
      <w:bookmarkEnd w:id="921"/>
      <w:bookmarkEnd w:id="922"/>
      <w:bookmarkEnd w:id="923"/>
      <w:bookmarkEnd w:id="924"/>
      <w:r>
        <w:rPr>
          <w:rFonts w:hint="default" w:ascii="Times New Roman" w:hAnsi="Times New Roman" w:eastAsia="黑体" w:cs="Times New Roman"/>
          <w:b w:val="0"/>
          <w:sz w:val="24"/>
          <w:szCs w:val="24"/>
          <w:highlight w:val="none"/>
        </w:rPr>
        <w:t xml:space="preserve">                            </w:t>
      </w:r>
    </w:p>
    <w:p w14:paraId="1ABFC3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197B7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9230DF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25" w:name="_Toc18063"/>
      <w:bookmarkStart w:id="926" w:name="_Toc31922"/>
      <w:bookmarkStart w:id="927" w:name="_Toc234833118"/>
      <w:bookmarkStart w:id="928" w:name="_Toc27984"/>
      <w:r>
        <w:rPr>
          <w:rFonts w:hint="default" w:ascii="Times New Roman" w:hAnsi="Times New Roman" w:eastAsia="黑体" w:cs="Times New Roman"/>
          <w:b w:val="0"/>
          <w:sz w:val="28"/>
          <w:szCs w:val="28"/>
          <w:highlight w:val="none"/>
        </w:rPr>
        <w:t>24. 争议的解决</w:t>
      </w:r>
      <w:bookmarkEnd w:id="925"/>
      <w:bookmarkEnd w:id="926"/>
      <w:bookmarkEnd w:id="927"/>
      <w:bookmarkEnd w:id="928"/>
    </w:p>
    <w:p w14:paraId="24D958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9" w:name="_Toc234833119"/>
      <w:bookmarkStart w:id="930" w:name="_Toc1723"/>
      <w:bookmarkStart w:id="931" w:name="_Toc32049"/>
      <w:bookmarkStart w:id="932" w:name="_Toc24347"/>
      <w:r>
        <w:rPr>
          <w:rFonts w:hint="default" w:ascii="Times New Roman" w:hAnsi="Times New Roman" w:eastAsia="黑体" w:cs="Times New Roman"/>
          <w:b w:val="0"/>
          <w:sz w:val="24"/>
          <w:szCs w:val="24"/>
          <w:highlight w:val="none"/>
        </w:rPr>
        <w:t>24.1 争议的解决方式</w:t>
      </w:r>
      <w:bookmarkEnd w:id="929"/>
      <w:bookmarkEnd w:id="930"/>
      <w:bookmarkEnd w:id="931"/>
      <w:bookmarkEnd w:id="932"/>
    </w:p>
    <w:p w14:paraId="4B76EF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40D5D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（1）向约定的仲裁委员会申请仲裁；</w:t>
      </w:r>
    </w:p>
    <w:p w14:paraId="794EBA2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（2）向有管辖权的人民法院提起诉讼。</w:t>
      </w:r>
    </w:p>
    <w:p w14:paraId="6FAFA8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3" w:name="_Toc4677"/>
      <w:bookmarkStart w:id="934" w:name="_Toc234833120"/>
      <w:bookmarkStart w:id="935" w:name="_Toc21235"/>
      <w:bookmarkStart w:id="936" w:name="_Toc25066"/>
      <w:r>
        <w:rPr>
          <w:rFonts w:hint="default" w:ascii="Times New Roman" w:hAnsi="Times New Roman" w:eastAsia="黑体" w:cs="Times New Roman"/>
          <w:b w:val="0"/>
          <w:sz w:val="24"/>
          <w:szCs w:val="24"/>
          <w:highlight w:val="none"/>
        </w:rPr>
        <w:t>24.2 友好解决</w:t>
      </w:r>
      <w:bookmarkEnd w:id="933"/>
      <w:bookmarkEnd w:id="934"/>
      <w:bookmarkEnd w:id="935"/>
      <w:bookmarkEnd w:id="936"/>
    </w:p>
    <w:p w14:paraId="7938FE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在提请争议评审、仲裁或者诉讼前，以及在争议评审、仲裁或诉讼过程中，发包人和承包人均可共同努力友好协商解决争议。</w:t>
      </w:r>
    </w:p>
    <w:p w14:paraId="2821493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7" w:name="_Toc24796"/>
      <w:bookmarkStart w:id="938" w:name="_Toc17586"/>
      <w:bookmarkStart w:id="939" w:name="_Toc234833121"/>
      <w:bookmarkStart w:id="940" w:name="_Toc15386"/>
      <w:r>
        <w:rPr>
          <w:rFonts w:hint="default" w:ascii="Times New Roman" w:hAnsi="Times New Roman" w:eastAsia="黑体" w:cs="Times New Roman"/>
          <w:b w:val="0"/>
          <w:sz w:val="24"/>
          <w:szCs w:val="24"/>
          <w:highlight w:val="none"/>
        </w:rPr>
        <w:t>24.3 争议评审</w:t>
      </w:r>
      <w:bookmarkEnd w:id="937"/>
      <w:bookmarkEnd w:id="938"/>
      <w:bookmarkEnd w:id="939"/>
      <w:bookmarkEnd w:id="940"/>
    </w:p>
    <w:p w14:paraId="5B9559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24.3.1采用争议评审的，发包人和承包人应在开工日后的28天内或在争议发生后，协商成立争议评审组。争议评审组由有合同管理和工程实践经验的专家组成。</w:t>
      </w:r>
    </w:p>
    <w:p w14:paraId="0D855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3701B2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24.3.3 被申请人在收到申请人评审申请报告副本后的28天内，向争议评审组提交一份答辩报告，并附证明材料。被申请人应将答辩报告的副本同时提交给申请人和监理人。</w:t>
      </w:r>
    </w:p>
    <w:p w14:paraId="32B06BE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6A0BA3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294EA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24.3.6 发包人和承包人接受评审意见的，由监理人根据评审意见拟定执行协议，经争议双方签字后作为合同的补充文件，并遵照执行。</w:t>
      </w:r>
    </w:p>
    <w:p w14:paraId="2204E8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979710C">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8F4BE86">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32C9B431">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CC4735B">
      <w:pPr>
        <w:pageBreakBefore w:val="0"/>
        <w:kinsoku/>
        <w:wordWrap w:val="0"/>
        <w:bidi w:val="0"/>
        <w:spacing w:before="240" w:after="240" w:line="380" w:lineRule="atLeast"/>
        <w:outlineLvl w:val="9"/>
        <w:rPr>
          <w:rFonts w:hint="default" w:ascii="Times New Roman" w:hAnsi="Times New Roman" w:cs="Times New Roman"/>
          <w:sz w:val="20"/>
          <w:szCs w:val="20"/>
          <w:highlight w:val="none"/>
        </w:rPr>
      </w:pPr>
    </w:p>
    <w:p w14:paraId="568F8798">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32"/>
          <w:szCs w:val="32"/>
          <w:highlight w:val="none"/>
        </w:rPr>
        <w:br w:type="page"/>
      </w:r>
      <w:bookmarkStart w:id="941" w:name="_Toc234833122"/>
    </w:p>
    <w:p w14:paraId="71485B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AF200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083E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213865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E91C0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89B57D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AB38D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2557A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A63F12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E1238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78D64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942" w:name="_Toc28131"/>
      <w:bookmarkStart w:id="943" w:name="_Toc22779"/>
      <w:r>
        <w:rPr>
          <w:rFonts w:hint="default" w:ascii="Times New Roman" w:hAnsi="Times New Roman" w:eastAsia="黑体" w:cs="Times New Roman"/>
          <w:b w:val="0"/>
          <w:sz w:val="42"/>
          <w:szCs w:val="42"/>
          <w:highlight w:val="none"/>
        </w:rPr>
        <w:t>第二节  专用合同条款</w:t>
      </w:r>
      <w:bookmarkEnd w:id="941"/>
      <w:bookmarkEnd w:id="942"/>
      <w:bookmarkEnd w:id="943"/>
    </w:p>
    <w:p w14:paraId="640DEDC5">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944" w:name="_Toc7911"/>
      <w:bookmarkStart w:id="945" w:name="_Toc22882"/>
      <w:bookmarkStart w:id="946" w:name="_Toc234833123"/>
      <w:r>
        <w:rPr>
          <w:rFonts w:hint="default" w:ascii="Times New Roman" w:hAnsi="Times New Roman" w:eastAsia="黑体" w:cs="Times New Roman"/>
          <w:b w:val="0"/>
          <w:sz w:val="32"/>
          <w:szCs w:val="32"/>
          <w:highlight w:val="none"/>
        </w:rPr>
        <w:t>A. 公路工程专用合同条款</w:t>
      </w:r>
      <w:bookmarkEnd w:id="944"/>
      <w:bookmarkEnd w:id="945"/>
      <w:bookmarkEnd w:id="946"/>
    </w:p>
    <w:p w14:paraId="717447F0">
      <w:pPr>
        <w:pageBreakBefore w:val="0"/>
        <w:kinsoku/>
        <w:wordWrap w:val="0"/>
        <w:bidi w:val="0"/>
        <w:spacing w:before="240" w:after="240" w:line="380" w:lineRule="atLeast"/>
        <w:outlineLvl w:val="9"/>
        <w:rPr>
          <w:rFonts w:hint="default" w:ascii="Times New Roman" w:hAnsi="Times New Roman" w:eastAsia="黑体" w:cs="Times New Roman"/>
          <w:b w:val="0"/>
          <w:sz w:val="24"/>
          <w:szCs w:val="24"/>
          <w:highlight w:val="none"/>
        </w:rPr>
      </w:pPr>
    </w:p>
    <w:p w14:paraId="0881CB52">
      <w:pPr>
        <w:pStyle w:val="2"/>
        <w:pageBreakBefore w:val="0"/>
        <w:kinsoku/>
        <w:wordWrap w:val="0"/>
        <w:bidi w:val="0"/>
        <w:spacing w:before="240" w:after="240" w:line="380" w:lineRule="atLeast"/>
        <w:rPr>
          <w:rFonts w:hint="default" w:ascii="Times New Roman" w:hAnsi="Times New Roman" w:eastAsia="黑体" w:cs="Times New Roman"/>
          <w:b w:val="0"/>
          <w:sz w:val="28"/>
          <w:szCs w:val="28"/>
          <w:highlight w:val="none"/>
        </w:rPr>
      </w:pPr>
      <w:bookmarkStart w:id="947" w:name="_Toc234833124"/>
      <w:bookmarkStart w:id="948" w:name="_Toc8341"/>
      <w:bookmarkStart w:id="949" w:name="_Toc18793"/>
      <w:bookmarkStart w:id="950" w:name="_Toc25199"/>
      <w:r>
        <w:rPr>
          <w:rFonts w:hint="default" w:ascii="Times New Roman" w:hAnsi="Times New Roman" w:eastAsia="黑体" w:cs="Times New Roman"/>
          <w:b w:val="0"/>
          <w:sz w:val="28"/>
          <w:szCs w:val="28"/>
          <w:highlight w:val="none"/>
        </w:rPr>
        <w:t>1. 一般约定</w:t>
      </w:r>
      <w:bookmarkEnd w:id="947"/>
      <w:bookmarkEnd w:id="948"/>
      <w:bookmarkEnd w:id="949"/>
      <w:bookmarkEnd w:id="950"/>
      <w:r>
        <w:rPr>
          <w:rFonts w:hint="default" w:ascii="Times New Roman" w:hAnsi="Times New Roman" w:eastAsia="黑体" w:cs="Times New Roman"/>
          <w:b w:val="0"/>
          <w:sz w:val="28"/>
          <w:szCs w:val="28"/>
          <w:highlight w:val="none"/>
        </w:rPr>
        <w:tab/>
      </w:r>
    </w:p>
    <w:p w14:paraId="4DBDDA5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51" w:name="_Toc12594"/>
      <w:bookmarkStart w:id="952" w:name="_Toc22285"/>
      <w:bookmarkStart w:id="953" w:name="_Toc9796"/>
      <w:bookmarkStart w:id="954" w:name="_Toc234833125"/>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951"/>
      <w:bookmarkEnd w:id="952"/>
      <w:bookmarkEnd w:id="953"/>
      <w:bookmarkEnd w:id="954"/>
    </w:p>
    <w:p w14:paraId="4688BDA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1.1.1 </w:t>
      </w:r>
      <w:r>
        <w:rPr>
          <w:rFonts w:hint="default" w:ascii="Times New Roman" w:hAnsi="Times New Roman" w:eastAsia="黑体" w:cs="Times New Roman"/>
          <w:sz w:val="24"/>
          <w:highlight w:val="none"/>
        </w:rPr>
        <w:t>合同</w:t>
      </w:r>
    </w:p>
    <w:p w14:paraId="3B932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第1.1.1.6目细化为：</w:t>
      </w:r>
    </w:p>
    <w:p w14:paraId="14934C0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技术规范：指本合同所约定的技术标准和要求，是合同文件的组成部分。通用合同条款中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技术标准和要求</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798E43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第1.1.1.8目细化为：</w:t>
      </w:r>
    </w:p>
    <w:p w14:paraId="61D9E6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453628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本项补充第1.1.1.10目：</w:t>
      </w:r>
    </w:p>
    <w:p w14:paraId="3462D0A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1.1.1.10 补遗书：指发出招标文件之后由招标人向已取得招标文件的投标人发出的、编号的对招标文件所作的澄清、修改书。</w:t>
      </w:r>
    </w:p>
    <w:p w14:paraId="2D29849A">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081E159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本项补充第1.1.2.8目：</w:t>
      </w:r>
    </w:p>
    <w:p w14:paraId="619E2CC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1.1.2.8 承包人项目总工：指由承包人书面委派常驻现场负责管理本合同工程的总工程师或技术总负责人。</w:t>
      </w:r>
    </w:p>
    <w:p w14:paraId="628329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35DC2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第1.1.3.4目细化为：</w:t>
      </w:r>
    </w:p>
    <w:p w14:paraId="1D3C753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单位工程：指在建设项目中，根据签订的合同，具有独立施工条件的工程。</w:t>
      </w:r>
    </w:p>
    <w:p w14:paraId="6C6A633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第1.1.3.10目细化为： </w:t>
      </w:r>
    </w:p>
    <w:p w14:paraId="576680E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永久占地：指为实施本合同工程而需要的一切永久占用的土地，包括公路两侧路权范围内的用地。</w:t>
      </w:r>
    </w:p>
    <w:p w14:paraId="68F1260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第1.1.3.11目细化为：</w:t>
      </w:r>
    </w:p>
    <w:p w14:paraId="667C614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临时占地：指为实施本合同工程而需要的一切临时占用的土地，包括施工所用的临时支线、便道、便桥和现场的临时出入通道，以及生产（办公）、生活等临时设施用地等。</w:t>
      </w:r>
    </w:p>
    <w:p w14:paraId="1A0DF7E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本项补充第1.1.3.12目、第1.1.3.13目：</w:t>
      </w:r>
    </w:p>
    <w:p w14:paraId="22C452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1.1.3.12 分部工程：指在单位工程中，按结构部位、路段长度及施工特点或施工任务划分的若干个工程。</w:t>
      </w:r>
    </w:p>
    <w:p w14:paraId="1B963E5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1.1.3.13 分项工程：指在分部工程中，按不同的施工方法、材料、工序及路段长度等划分的若干个工程。</w:t>
      </w:r>
    </w:p>
    <w:p w14:paraId="2BDD0783">
      <w:pPr>
        <w:pageBreakBefore w:val="0"/>
        <w:kinsoku/>
        <w:wordWrap w:val="0"/>
        <w:bidi w:val="0"/>
        <w:spacing w:line="400" w:lineRule="atLeast"/>
        <w:ind w:firstLine="470" w:firstLineChars="196"/>
        <w:rPr>
          <w:rFonts w:hint="default" w:ascii="Times New Roman" w:hAnsi="Times New Roman" w:cs="Times New Roman"/>
          <w:sz w:val="24"/>
          <w:highlight w:val="none"/>
        </w:rPr>
      </w:pPr>
      <w:bookmarkStart w:id="955" w:name="OLE_LINK18"/>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10552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本项补充第1.1.6.2目～第1.1.6.9目：</w:t>
      </w:r>
    </w:p>
    <w:p w14:paraId="6F1C39D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1.1.6.2 竣工验收：指《公路工程竣（交）工验收办法》中的竣工验收。通用合同条款中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国家验收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A57B78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1.1.6.3交工：指《公路工程竣（交）工验收办法》中的交工。通用合同条款中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67D939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1.1.6.4交工验收：指《公路工程竣（交）工验收办法》中的交工验收。通用合同条款中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1AEC3B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1.1.6.5交工验收证书：指《公路工程竣（交）工验收办法》中的交工验收证书。通用合同条款中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工程接收证书</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bookmarkEnd w:id="955"/>
    <w:p w14:paraId="7844FD2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1.1.6.6转包：指承包人违反法律和不履行合同规定的责任和义务，将中标工程全部委托或以专业分包的名义将中标工程肢解后全部委托给其他施工企业施工的行为。</w:t>
      </w:r>
    </w:p>
    <w:p w14:paraId="02D499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36F063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2823223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1.1.6.9雇用民工：指承包人与具有相应劳动能力的自然人签订劳动合同，由承包人统一组织管理，从事分项工程施工或配套工程施工的行为。</w:t>
      </w:r>
    </w:p>
    <w:p w14:paraId="4D9372B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56" w:name="_Toc12998"/>
      <w:bookmarkStart w:id="957" w:name="_Toc1907"/>
      <w:bookmarkStart w:id="958" w:name="_Toc234833126"/>
      <w:bookmarkStart w:id="959" w:name="_Toc20079"/>
      <w:r>
        <w:rPr>
          <w:rFonts w:hint="default" w:ascii="Times New Roman" w:hAnsi="Times New Roman" w:eastAsia="黑体" w:cs="Times New Roman"/>
          <w:b w:val="0"/>
          <w:sz w:val="24"/>
          <w:szCs w:val="24"/>
          <w:highlight w:val="none"/>
        </w:rPr>
        <w:t>1.4 合同文件的优先顺序</w:t>
      </w:r>
      <w:bookmarkEnd w:id="956"/>
      <w:bookmarkEnd w:id="957"/>
      <w:bookmarkEnd w:id="958"/>
      <w:bookmarkEnd w:id="959"/>
    </w:p>
    <w:p w14:paraId="7C7F37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0F2E73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组成合同的各项文件应互相解释，互为说明。除项目专用合同条款另有约定外，解释合同文件的优先顺序如下：</w:t>
      </w:r>
    </w:p>
    <w:p w14:paraId="342E3DD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（1）合同协议书及各种合同附件（含评标期间和合同谈判过程中的澄清文件和补充资料）；</w:t>
      </w:r>
    </w:p>
    <w:p w14:paraId="6BDD92D2">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088978F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FC3E19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（4）项目专用合同条款；</w:t>
      </w:r>
    </w:p>
    <w:p w14:paraId="1A2C103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（5）公路工程专用合同条款；</w:t>
      </w:r>
    </w:p>
    <w:p w14:paraId="066951DE">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411CB65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70B1CE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（8）技术规范；</w:t>
      </w:r>
    </w:p>
    <w:p w14:paraId="2933F6A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（9）图纸；</w:t>
      </w:r>
    </w:p>
    <w:p w14:paraId="02C6527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（10）已标价工程量清单；</w:t>
      </w:r>
    </w:p>
    <w:p w14:paraId="06069CE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（11）承包人有关人员、设备投入的承诺及投标文件中的施工组织设计；</w:t>
      </w:r>
    </w:p>
    <w:p w14:paraId="1118129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（12）其他合同文件。</w:t>
      </w:r>
    </w:p>
    <w:p w14:paraId="707EAE7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0" w:name="_Toc234833127"/>
      <w:bookmarkStart w:id="961" w:name="_Toc7187"/>
      <w:bookmarkStart w:id="962" w:name="_Toc17521"/>
      <w:bookmarkStart w:id="963" w:name="_Toc19791"/>
      <w:r>
        <w:rPr>
          <w:rFonts w:hint="default" w:ascii="Times New Roman" w:hAnsi="Times New Roman" w:eastAsia="黑体" w:cs="Times New Roman"/>
          <w:b w:val="0"/>
          <w:sz w:val="24"/>
          <w:szCs w:val="24"/>
          <w:highlight w:val="none"/>
        </w:rPr>
        <w:t>1.5 合同协议书</w:t>
      </w:r>
      <w:bookmarkEnd w:id="960"/>
      <w:bookmarkEnd w:id="961"/>
      <w:bookmarkEnd w:id="962"/>
      <w:bookmarkEnd w:id="963"/>
    </w:p>
    <w:p w14:paraId="0D173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6DE0AE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制备本合同文件的费用由发包人承担。在合同协议书签订并生效之前，投标函和中标通知书将对双方具有约束力。</w:t>
      </w:r>
    </w:p>
    <w:p w14:paraId="0DF9A9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4" w:name="_Toc2156"/>
      <w:bookmarkStart w:id="965" w:name="_Toc5981"/>
      <w:bookmarkStart w:id="966" w:name="_Toc9543"/>
      <w:bookmarkStart w:id="967" w:name="_Toc234833128"/>
      <w:r>
        <w:rPr>
          <w:rFonts w:hint="default" w:ascii="Times New Roman" w:hAnsi="Times New Roman" w:eastAsia="黑体" w:cs="Times New Roman"/>
          <w:b w:val="0"/>
          <w:sz w:val="24"/>
          <w:szCs w:val="24"/>
          <w:highlight w:val="none"/>
        </w:rPr>
        <w:t>1.6 图纸和承包人文件</w:t>
      </w:r>
      <w:bookmarkEnd w:id="964"/>
      <w:bookmarkEnd w:id="965"/>
      <w:bookmarkEnd w:id="966"/>
      <w:bookmarkEnd w:id="967"/>
    </w:p>
    <w:p w14:paraId="6C741D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294C8A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82A0F1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A678F0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5B1809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2D07FDB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2AFBDE2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（1）为使第1.6.1项所述的施工图纸适合于经施工测量后的纵、横断面；</w:t>
      </w:r>
    </w:p>
    <w:p w14:paraId="220CE58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（2）为使第1.6.1项所述的施工图纸适合于现场具体地形；</w:t>
      </w:r>
    </w:p>
    <w:p w14:paraId="141CDEF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（3）为使第1.6.1项所述的施工图纸适合于因尺寸与位置变化而引起局部变更；</w:t>
      </w:r>
    </w:p>
    <w:p w14:paraId="065C62F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（4）由于合同要求与施工需要。</w:t>
      </w:r>
    </w:p>
    <w:p w14:paraId="2B54F9B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4F4FB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2CD4C1B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5E95A1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B957E1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8" w:name="_Toc23783"/>
      <w:bookmarkStart w:id="969" w:name="_Toc21655"/>
      <w:bookmarkStart w:id="970" w:name="_Toc5360"/>
      <w:bookmarkStart w:id="971" w:name="_Toc234833129"/>
      <w:r>
        <w:rPr>
          <w:rFonts w:hint="default" w:ascii="Times New Roman" w:hAnsi="Times New Roman" w:eastAsia="黑体" w:cs="Times New Roman"/>
          <w:b w:val="0"/>
          <w:sz w:val="24"/>
          <w:szCs w:val="24"/>
          <w:highlight w:val="none"/>
        </w:rPr>
        <w:t>1.9 严禁贿赂</w:t>
      </w:r>
      <w:bookmarkEnd w:id="968"/>
      <w:bookmarkEnd w:id="969"/>
      <w:bookmarkEnd w:id="970"/>
      <w:bookmarkEnd w:id="971"/>
    </w:p>
    <w:p w14:paraId="5AE407D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6B820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F28864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72" w:name="_Toc15632"/>
      <w:bookmarkStart w:id="973" w:name="_Toc1766"/>
      <w:bookmarkStart w:id="974" w:name="_Toc22320"/>
      <w:bookmarkStart w:id="975" w:name="_Toc234833130"/>
      <w:r>
        <w:rPr>
          <w:rFonts w:hint="default" w:ascii="Times New Roman" w:hAnsi="Times New Roman" w:eastAsia="黑体" w:cs="Times New Roman"/>
          <w:b w:val="0"/>
          <w:sz w:val="28"/>
          <w:szCs w:val="28"/>
          <w:highlight w:val="none"/>
        </w:rPr>
        <w:t>2. 发包人义务</w:t>
      </w:r>
      <w:bookmarkEnd w:id="972"/>
      <w:bookmarkEnd w:id="973"/>
      <w:bookmarkEnd w:id="974"/>
      <w:bookmarkEnd w:id="975"/>
    </w:p>
    <w:p w14:paraId="016B898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76" w:name="_Toc14471"/>
      <w:bookmarkStart w:id="977" w:name="_Toc21651"/>
      <w:bookmarkStart w:id="978" w:name="_Toc234833131"/>
      <w:bookmarkStart w:id="979" w:name="_Toc15163"/>
      <w:r>
        <w:rPr>
          <w:rFonts w:hint="default" w:ascii="Times New Roman" w:hAnsi="Times New Roman" w:eastAsia="黑体" w:cs="Times New Roman"/>
          <w:b w:val="0"/>
          <w:sz w:val="24"/>
          <w:szCs w:val="24"/>
          <w:highlight w:val="none"/>
        </w:rPr>
        <w:t>2.3 提供施工场地</w:t>
      </w:r>
      <w:bookmarkEnd w:id="976"/>
      <w:bookmarkEnd w:id="977"/>
      <w:bookmarkEnd w:id="978"/>
      <w:bookmarkEnd w:id="979"/>
    </w:p>
    <w:p w14:paraId="65F910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6E37535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512DAB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7366B3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80" w:name="_Toc234833132"/>
      <w:bookmarkStart w:id="981" w:name="_Toc18195"/>
      <w:bookmarkStart w:id="982" w:name="_Toc13125"/>
      <w:bookmarkStart w:id="983" w:name="_Toc25338"/>
      <w:r>
        <w:rPr>
          <w:rFonts w:hint="default" w:ascii="Times New Roman" w:hAnsi="Times New Roman" w:eastAsia="黑体" w:cs="Times New Roman"/>
          <w:b w:val="0"/>
          <w:sz w:val="28"/>
          <w:szCs w:val="28"/>
          <w:highlight w:val="none"/>
        </w:rPr>
        <w:t>3. 监理人</w:t>
      </w:r>
      <w:bookmarkEnd w:id="980"/>
      <w:bookmarkEnd w:id="981"/>
      <w:bookmarkEnd w:id="982"/>
      <w:bookmarkEnd w:id="983"/>
    </w:p>
    <w:p w14:paraId="468D1E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4" w:name="_Toc234833133"/>
      <w:bookmarkStart w:id="985" w:name="_Toc19048"/>
      <w:bookmarkStart w:id="986" w:name="_Toc26511"/>
      <w:bookmarkStart w:id="987" w:name="_Toc31502"/>
      <w:r>
        <w:rPr>
          <w:rFonts w:hint="default" w:ascii="Times New Roman" w:hAnsi="Times New Roman" w:eastAsia="黑体" w:cs="Times New Roman"/>
          <w:b w:val="0"/>
          <w:sz w:val="24"/>
          <w:szCs w:val="24"/>
          <w:highlight w:val="none"/>
        </w:rPr>
        <w:t>3.1 监理人的职责和权力</w:t>
      </w:r>
      <w:bookmarkEnd w:id="984"/>
      <w:bookmarkEnd w:id="985"/>
      <w:bookmarkEnd w:id="986"/>
      <w:bookmarkEnd w:id="987"/>
      <w:r>
        <w:rPr>
          <w:rFonts w:hint="default" w:ascii="Times New Roman" w:hAnsi="Times New Roman" w:eastAsia="黑体" w:cs="Times New Roman"/>
          <w:b w:val="0"/>
          <w:sz w:val="24"/>
          <w:szCs w:val="24"/>
          <w:highlight w:val="none"/>
        </w:rPr>
        <w:t xml:space="preserve"> </w:t>
      </w:r>
    </w:p>
    <w:p w14:paraId="0E8526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第3.1.1项补充：</w:t>
      </w:r>
    </w:p>
    <w:p w14:paraId="38CDEF8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监理人在行使下列权力前需要经发包人事先批准：</w:t>
      </w:r>
    </w:p>
    <w:p w14:paraId="27773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（1）根据第4.3款，同意分包本工程的某些非关键性工作或者适合专业化队伍施工的专项工程；</w:t>
      </w:r>
    </w:p>
    <w:p w14:paraId="6EAB86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（2）确定第4.11款下产生的费用增加额；</w:t>
      </w:r>
    </w:p>
    <w:p w14:paraId="4557E4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（3）根据第11.1款、第12.3款、第12.4款发布开工通知、暂停施工指示或复工通知；</w:t>
      </w:r>
    </w:p>
    <w:p w14:paraId="4B406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（4）决定第11.3款、第11.4款下的工期延长；</w:t>
      </w:r>
    </w:p>
    <w:p w14:paraId="08A671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（5）审查批准技术方案或设计的变更；</w:t>
      </w:r>
    </w:p>
    <w:p w14:paraId="479617B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（6）根据第15.3款发出的变更指示，其单项工程变更或累计变更涉及的金额超过了项目专用合同条款数据表中规定的金额； </w:t>
      </w:r>
    </w:p>
    <w:p w14:paraId="7E0817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（7）确定第15.4款下变更工作的单价；</w:t>
      </w:r>
    </w:p>
    <w:p w14:paraId="5551A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（8）按照第15.6款决定有关暂列金额的使用； </w:t>
      </w:r>
    </w:p>
    <w:p w14:paraId="0C5D73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（9）确定第15.8款下的暂估价金额；</w:t>
      </w:r>
    </w:p>
    <w:p w14:paraId="4AFC02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（10）确定第23.1款下的索赔额。</w:t>
      </w:r>
    </w:p>
    <w:p w14:paraId="207F7B7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406690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8" w:name="_Toc234833134"/>
      <w:bookmarkStart w:id="989" w:name="_Toc11325"/>
      <w:bookmarkStart w:id="990" w:name="_Toc24088"/>
      <w:bookmarkStart w:id="991" w:name="_Toc682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988"/>
      <w:bookmarkEnd w:id="989"/>
      <w:bookmarkEnd w:id="990"/>
      <w:bookmarkEnd w:id="991"/>
    </w:p>
    <w:p w14:paraId="715417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第3.5.1项补充：</w:t>
      </w:r>
    </w:p>
    <w:p w14:paraId="75073B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如果这项商定或确定导致费用增加和（或）工期延长，或者涉及确定变更工程的价格，则总监理工程师在发出通知前，应征得发包人的同意。</w:t>
      </w:r>
    </w:p>
    <w:p w14:paraId="59FF0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92" w:name="_Toc11613"/>
      <w:bookmarkStart w:id="993" w:name="_Toc234833135"/>
      <w:bookmarkStart w:id="994" w:name="_Toc25050"/>
      <w:bookmarkStart w:id="995" w:name="_Toc32621"/>
      <w:r>
        <w:rPr>
          <w:rFonts w:hint="default" w:ascii="Times New Roman" w:hAnsi="Times New Roman" w:eastAsia="黑体" w:cs="Times New Roman"/>
          <w:b w:val="0"/>
          <w:sz w:val="28"/>
          <w:szCs w:val="28"/>
          <w:highlight w:val="none"/>
        </w:rPr>
        <w:t>4. 承包人</w:t>
      </w:r>
      <w:bookmarkEnd w:id="992"/>
      <w:bookmarkEnd w:id="993"/>
      <w:bookmarkEnd w:id="994"/>
      <w:bookmarkEnd w:id="995"/>
    </w:p>
    <w:p w14:paraId="5120488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96" w:name="_Toc9712"/>
      <w:bookmarkStart w:id="997" w:name="_Toc14708"/>
      <w:bookmarkStart w:id="998" w:name="_Toc10533"/>
      <w:bookmarkStart w:id="999" w:name="_Toc234833136"/>
      <w:r>
        <w:rPr>
          <w:rFonts w:hint="default" w:ascii="Times New Roman" w:hAnsi="Times New Roman" w:eastAsia="黑体" w:cs="Times New Roman"/>
          <w:b w:val="0"/>
          <w:sz w:val="24"/>
          <w:szCs w:val="24"/>
          <w:highlight w:val="none"/>
        </w:rPr>
        <w:t>4.1 承包人的一般义务</w:t>
      </w:r>
      <w:bookmarkEnd w:id="996"/>
      <w:bookmarkEnd w:id="997"/>
      <w:bookmarkEnd w:id="998"/>
      <w:bookmarkEnd w:id="999"/>
    </w:p>
    <w:p w14:paraId="0D4DBA6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 xml:space="preserve">工程的维护和照管 </w:t>
      </w:r>
    </w:p>
    <w:p w14:paraId="6711F03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7A50C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C93D4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413759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6837789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C0B5D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 临时占地由承包人向当地政府土地管理部门申请，并办理租用手续，承包人按有关规定直接支付其费用，发包人对此将予以协调。</w:t>
      </w:r>
    </w:p>
    <w:p w14:paraId="6103DB2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sz w:val="24"/>
          <w:highlight w:val="none"/>
        </w:rPr>
        <w:t>“</w:t>
      </w:r>
      <w:r>
        <w:rPr>
          <w:rFonts w:hint="default" w:ascii="Times New Roman" w:hAnsi="Times New Roman" w:cs="Times New Roman"/>
          <w:sz w:val="24"/>
          <w:highlight w:val="none"/>
        </w:rPr>
        <w:t>临时占地计划表</w:t>
      </w:r>
      <w:r>
        <w:rPr>
          <w:rFonts w:hint="eastAsia" w:ascii="宋体" w:hAnsi="宋体" w:eastAsia="宋体" w:cs="宋体"/>
          <w:sz w:val="24"/>
          <w:highlight w:val="none"/>
        </w:rPr>
        <w:t>”</w:t>
      </w:r>
      <w:r>
        <w:rPr>
          <w:rFonts w:hint="default" w:ascii="Times New Roman" w:hAnsi="Times New Roman" w:cs="Times New Roman"/>
          <w:sz w:val="24"/>
          <w:highlight w:val="none"/>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02C7668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143D2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B42BC3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3C1F4D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sz w:val="24"/>
          <w:highlight w:val="none"/>
        </w:rPr>
        <w:t>“</w:t>
      </w:r>
      <w:r>
        <w:rPr>
          <w:rFonts w:hint="default" w:ascii="Times New Roman" w:hAnsi="Times New Roman" w:cs="Times New Roman"/>
          <w:sz w:val="24"/>
          <w:highlight w:val="none"/>
        </w:rPr>
        <w:t>包工头</w:t>
      </w:r>
      <w:r>
        <w:rPr>
          <w:rFonts w:hint="eastAsia" w:ascii="宋体" w:hAnsi="宋体" w:eastAsia="宋体" w:cs="宋体"/>
          <w:sz w:val="24"/>
          <w:highlight w:val="none"/>
        </w:rPr>
        <w:t>”</w:t>
      </w:r>
      <w:r>
        <w:rPr>
          <w:rFonts w:hint="default" w:ascii="Times New Roman" w:hAnsi="Times New Roman" w:cs="Times New Roman"/>
          <w:sz w:val="24"/>
          <w:highlight w:val="none"/>
        </w:rPr>
        <w:t>或其他不具备用工主体资格的组织和个人。</w:t>
      </w:r>
    </w:p>
    <w:p w14:paraId="056DED7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工资支付表应如实记录支付单位、支付时间、支付对象、支付数额、支付对象的身份证号和签字等信息。民工花名册和工资支付表应报监理人备查。</w:t>
      </w:r>
    </w:p>
    <w:p w14:paraId="6777CF8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AE999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C4E66C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（6）承包人应履行项目专用合同条款约定的其他义务。</w:t>
      </w:r>
    </w:p>
    <w:p w14:paraId="6764B1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0" w:name="_Toc32553"/>
      <w:bookmarkStart w:id="1001" w:name="_Toc29645"/>
      <w:bookmarkStart w:id="1002" w:name="_Toc16581"/>
      <w:bookmarkStart w:id="1003" w:name="_Toc234833137"/>
      <w:r>
        <w:rPr>
          <w:rFonts w:hint="default" w:ascii="Times New Roman" w:hAnsi="Times New Roman" w:eastAsia="黑体" w:cs="Times New Roman"/>
          <w:b w:val="0"/>
          <w:sz w:val="24"/>
          <w:szCs w:val="24"/>
          <w:highlight w:val="none"/>
        </w:rPr>
        <w:t>4.2 履约保证金</w:t>
      </w:r>
      <w:bookmarkEnd w:id="1000"/>
      <w:bookmarkEnd w:id="1001"/>
      <w:bookmarkEnd w:id="1002"/>
    </w:p>
    <w:p w14:paraId="2311BBB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5AC7EF6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7539D92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1C2B8F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4" w:name="_Toc3246"/>
      <w:bookmarkStart w:id="1005" w:name="_Toc25400"/>
      <w:bookmarkStart w:id="1006" w:name="_Toc32680"/>
      <w:r>
        <w:rPr>
          <w:rFonts w:hint="default" w:ascii="Times New Roman" w:hAnsi="Times New Roman" w:eastAsia="黑体" w:cs="Times New Roman"/>
          <w:b w:val="0"/>
          <w:sz w:val="24"/>
          <w:szCs w:val="24"/>
          <w:highlight w:val="none"/>
        </w:rPr>
        <w:t>4.3 分包</w:t>
      </w:r>
      <w:bookmarkEnd w:id="1003"/>
      <w:bookmarkEnd w:id="1004"/>
      <w:bookmarkEnd w:id="1005"/>
      <w:bookmarkEnd w:id="1006"/>
    </w:p>
    <w:p w14:paraId="7C1F4E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第4.3.2项～第4.3.4项细化为：</w:t>
      </w:r>
    </w:p>
    <w:p w14:paraId="503FBE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承包人不得将工程关键性工作分包给第三人。经发包人同意，承包人可将工程的其他部分或工作分包给第三人。分包包括专业分包和劳务分包。</w:t>
      </w:r>
    </w:p>
    <w:p w14:paraId="023F5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 专业分包</w:t>
      </w:r>
    </w:p>
    <w:p w14:paraId="2BA0A5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在工程施工过程中，承包人进行专业分包必须遵守以下规定：</w:t>
      </w:r>
    </w:p>
    <w:p w14:paraId="79E1A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F5D17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（2）专业分包人的资格能力（含安全生产能力）应与其分包工程的标准和规模相适应，且应当具备如下条件：</w:t>
      </w:r>
    </w:p>
    <w:p w14:paraId="05C79F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具有经工商登记的法人资格；</w:t>
      </w:r>
    </w:p>
    <w:p w14:paraId="2C4CC1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b. 具有从事类似工程经验的管理与技术人员； </w:t>
      </w:r>
    </w:p>
    <w:p w14:paraId="429A65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具有（自有或租赁）分包工程所需的施工设备。</w:t>
      </w:r>
    </w:p>
    <w:p w14:paraId="6DAC871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承包人应向监理人提交专业分包人的资格能力证明材料，经监理人审查并报发包人批准后，可以将相应专业工程分包给该专业分包人。</w:t>
      </w:r>
    </w:p>
    <w:p w14:paraId="6F9DE9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（3）专业分包工程不得再次分包。</w:t>
      </w:r>
    </w:p>
    <w:p w14:paraId="125176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860CA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A31CE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2D6C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03CFD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D5330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251A7B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 劳务分包</w:t>
      </w:r>
    </w:p>
    <w:p w14:paraId="1EB7B3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在工程施工过程中，承包人进行劳务分包必须遵守以下规定：</w:t>
      </w:r>
    </w:p>
    <w:p w14:paraId="1788F19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（1）劳务分包人应具有施工劳务资质。</w:t>
      </w:r>
    </w:p>
    <w:p w14:paraId="4DB691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48947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5E95D3C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（4）承包人应当对劳务分包人员进行安全培训和管理，劳务分包人不得将其分包的劳务作业再次分包。</w:t>
      </w:r>
    </w:p>
    <w:p w14:paraId="13BC72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0DE3E6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本款补充第4.3.6项、第4.3.7项：</w:t>
      </w:r>
    </w:p>
    <w:p w14:paraId="15213F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4.3.6 发包人对承包人与分包人之间的法律与经济纠纷不承担任何责任和义务。</w:t>
      </w:r>
    </w:p>
    <w:p w14:paraId="0E1246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4.3.7 本项目的各项分包工作均应遵守《公路工程施工分包管理办法》的有关规定。</w:t>
      </w:r>
    </w:p>
    <w:p w14:paraId="39D87C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7" w:name="_Toc234833138"/>
      <w:bookmarkStart w:id="1008" w:name="_Toc29289"/>
      <w:bookmarkStart w:id="1009" w:name="_Toc15262"/>
      <w:bookmarkStart w:id="1010" w:name="_Toc32168"/>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1007"/>
      <w:bookmarkEnd w:id="1008"/>
      <w:bookmarkEnd w:id="1009"/>
      <w:bookmarkEnd w:id="1010"/>
    </w:p>
    <w:p w14:paraId="1CD69C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本款补充第4.4.4项：</w:t>
      </w:r>
    </w:p>
    <w:p w14:paraId="08184B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4.4.4未经发包人事先同意，联合体的组成与结构不得变动。</w:t>
      </w:r>
    </w:p>
    <w:p w14:paraId="47F3B06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1" w:name="_Toc3589"/>
      <w:bookmarkStart w:id="1012" w:name="_Toc234833139"/>
      <w:bookmarkStart w:id="1013" w:name="_Toc13104"/>
      <w:bookmarkStart w:id="1014" w:name="_Toc12253"/>
      <w:r>
        <w:rPr>
          <w:rFonts w:hint="default" w:ascii="Times New Roman" w:hAnsi="Times New Roman" w:eastAsia="黑体" w:cs="Times New Roman"/>
          <w:b w:val="0"/>
          <w:sz w:val="24"/>
          <w:szCs w:val="24"/>
          <w:highlight w:val="none"/>
        </w:rPr>
        <w:t>4.6 承包人人员的管理</w:t>
      </w:r>
      <w:bookmarkEnd w:id="1011"/>
      <w:bookmarkEnd w:id="1012"/>
      <w:bookmarkEnd w:id="1013"/>
      <w:bookmarkEnd w:id="1014"/>
    </w:p>
    <w:p w14:paraId="5E2C0C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第4.6.3项细化为：</w:t>
      </w:r>
    </w:p>
    <w:p w14:paraId="530C12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1B2D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本款补充第4.6.5项：</w:t>
      </w:r>
    </w:p>
    <w:p w14:paraId="473D96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915F2A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5" w:name="_Toc234833140"/>
      <w:bookmarkStart w:id="1016" w:name="_Toc2075"/>
      <w:bookmarkStart w:id="1017" w:name="_Toc16403"/>
      <w:bookmarkStart w:id="1018" w:name="_Toc20923"/>
      <w:r>
        <w:rPr>
          <w:rFonts w:hint="default" w:ascii="Times New Roman" w:hAnsi="Times New Roman" w:eastAsia="黑体" w:cs="Times New Roman"/>
          <w:b w:val="0"/>
          <w:sz w:val="24"/>
          <w:szCs w:val="24"/>
          <w:highlight w:val="none"/>
        </w:rPr>
        <w:t>4.7 撤换承包人项目经理和其他人员</w:t>
      </w:r>
      <w:bookmarkEnd w:id="1015"/>
      <w:bookmarkEnd w:id="1016"/>
      <w:bookmarkEnd w:id="1017"/>
      <w:bookmarkEnd w:id="1018"/>
    </w:p>
    <w:p w14:paraId="10357A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BE295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9A1F0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9" w:name="_Toc234833141"/>
      <w:bookmarkStart w:id="1020" w:name="_Toc22693"/>
      <w:bookmarkStart w:id="1021" w:name="_Toc22823"/>
      <w:bookmarkStart w:id="1022" w:name="_Toc4005"/>
      <w:r>
        <w:rPr>
          <w:rFonts w:hint="default" w:ascii="Times New Roman" w:hAnsi="Times New Roman" w:eastAsia="黑体" w:cs="Times New Roman"/>
          <w:b w:val="0"/>
          <w:sz w:val="24"/>
          <w:szCs w:val="24"/>
          <w:highlight w:val="none"/>
        </w:rPr>
        <w:t>4.9 工程价款应专款专用</w:t>
      </w:r>
      <w:bookmarkEnd w:id="1019"/>
      <w:bookmarkEnd w:id="1020"/>
      <w:bookmarkEnd w:id="1021"/>
      <w:bookmarkEnd w:id="1022"/>
    </w:p>
    <w:p w14:paraId="657203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9E03D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CA230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3" w:name="_Toc14913"/>
      <w:bookmarkStart w:id="1024" w:name="_Toc234833142"/>
      <w:bookmarkStart w:id="1025" w:name="_Toc5299"/>
      <w:bookmarkStart w:id="1026" w:name="_Toc11912"/>
      <w:r>
        <w:rPr>
          <w:rFonts w:hint="default" w:ascii="Times New Roman" w:hAnsi="Times New Roman" w:eastAsia="黑体" w:cs="Times New Roman"/>
          <w:b w:val="0"/>
          <w:sz w:val="24"/>
          <w:szCs w:val="24"/>
          <w:highlight w:val="none"/>
        </w:rPr>
        <w:t>4.10 承包人现场查勘</w:t>
      </w:r>
      <w:bookmarkEnd w:id="1023"/>
      <w:bookmarkEnd w:id="1024"/>
      <w:bookmarkEnd w:id="1025"/>
      <w:bookmarkEnd w:id="1026"/>
      <w:r>
        <w:rPr>
          <w:rFonts w:hint="default" w:ascii="Times New Roman" w:hAnsi="Times New Roman" w:eastAsia="黑体" w:cs="Times New Roman"/>
          <w:b w:val="0"/>
          <w:sz w:val="24"/>
          <w:szCs w:val="24"/>
          <w:highlight w:val="none"/>
        </w:rPr>
        <w:t xml:space="preserve">    </w:t>
      </w:r>
    </w:p>
    <w:p w14:paraId="58427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第4.10.1项细化为：</w:t>
      </w:r>
      <w:r>
        <w:rPr>
          <w:rStyle w:val="48"/>
          <w:rFonts w:hint="default" w:ascii="Times New Roman" w:hAnsi="Times New Roman" w:cs="Times New Roman"/>
          <w:sz w:val="24"/>
          <w:highlight w:val="none"/>
        </w:rPr>
        <w:footnoteReference w:id="28"/>
      </w:r>
    </w:p>
    <w:p w14:paraId="6DEDF2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A22B5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7" w:name="_Toc234833143"/>
      <w:bookmarkStart w:id="1028" w:name="_Toc29737"/>
      <w:bookmarkStart w:id="1029" w:name="_Toc26327"/>
      <w:bookmarkStart w:id="1030" w:name="_Toc395"/>
      <w:r>
        <w:rPr>
          <w:rFonts w:hint="default" w:ascii="Times New Roman" w:hAnsi="Times New Roman" w:eastAsia="黑体" w:cs="Times New Roman"/>
          <w:b w:val="0"/>
          <w:sz w:val="24"/>
          <w:szCs w:val="24"/>
          <w:highlight w:val="none"/>
        </w:rPr>
        <w:t>4.11 不利物质条件</w:t>
      </w:r>
      <w:bookmarkEnd w:id="1027"/>
      <w:bookmarkEnd w:id="1028"/>
      <w:bookmarkEnd w:id="1029"/>
      <w:bookmarkEnd w:id="1030"/>
    </w:p>
    <w:p w14:paraId="125861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第4.11.2项细化为：</w:t>
      </w:r>
    </w:p>
    <w:p w14:paraId="0014F6FA">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95D7FDA">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本款补充第4.11.3项：</w:t>
      </w:r>
    </w:p>
    <w:p w14:paraId="36978B2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4.11.3 可预见的不利物质条件</w:t>
      </w:r>
    </w:p>
    <w:p w14:paraId="527AF8A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26360AB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5F77FBAA">
      <w:pPr>
        <w:pageBreakBefore w:val="0"/>
        <w:kinsoku/>
        <w:wordWrap w:val="0"/>
        <w:bidi w:val="0"/>
        <w:spacing w:line="400" w:lineRule="atLeast"/>
        <w:rPr>
          <w:rFonts w:hint="default" w:ascii="Times New Roman" w:hAnsi="Times New Roman" w:cs="Times New Roman"/>
          <w:sz w:val="24"/>
          <w:highlight w:val="none"/>
        </w:rPr>
      </w:pPr>
    </w:p>
    <w:p w14:paraId="237E0D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补充第4.12款、第4.13款：</w:t>
      </w:r>
    </w:p>
    <w:p w14:paraId="29C208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1" w:name="_Toc4142"/>
      <w:bookmarkStart w:id="1032" w:name="_Toc234833144"/>
      <w:bookmarkStart w:id="1033" w:name="_Toc13171"/>
      <w:bookmarkStart w:id="1034" w:name="_Toc18687"/>
      <w:r>
        <w:rPr>
          <w:rFonts w:hint="default" w:ascii="Times New Roman" w:hAnsi="Times New Roman" w:eastAsia="黑体" w:cs="Times New Roman"/>
          <w:b w:val="0"/>
          <w:sz w:val="24"/>
          <w:szCs w:val="24"/>
          <w:highlight w:val="none"/>
        </w:rPr>
        <w:t>4.12 投标文件的完备性</w:t>
      </w:r>
      <w:bookmarkEnd w:id="1031"/>
      <w:bookmarkEnd w:id="1032"/>
      <w:bookmarkEnd w:id="1033"/>
      <w:bookmarkEnd w:id="1034"/>
    </w:p>
    <w:p w14:paraId="660A3A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E43B4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5" w:name="_Toc4019"/>
      <w:bookmarkStart w:id="1036" w:name="_Toc17239"/>
      <w:bookmarkStart w:id="1037" w:name="_Toc14467"/>
      <w:r>
        <w:rPr>
          <w:rFonts w:hint="default" w:ascii="Times New Roman" w:hAnsi="Times New Roman" w:eastAsia="黑体" w:cs="Times New Roman"/>
          <w:b w:val="0"/>
          <w:sz w:val="24"/>
          <w:szCs w:val="24"/>
          <w:highlight w:val="none"/>
        </w:rPr>
        <w:t>4.13 开展党建工作要求</w:t>
      </w:r>
      <w:bookmarkEnd w:id="1035"/>
      <w:bookmarkEnd w:id="1036"/>
      <w:bookmarkEnd w:id="1037"/>
    </w:p>
    <w:p w14:paraId="4CF4C0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E1DCB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4C9BF7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38" w:name="_Toc21286"/>
      <w:bookmarkStart w:id="1039" w:name="_Toc234833145"/>
      <w:bookmarkStart w:id="1040" w:name="_Toc29830"/>
      <w:bookmarkStart w:id="1041" w:name="_Toc27557"/>
      <w:r>
        <w:rPr>
          <w:rFonts w:hint="default" w:ascii="Times New Roman" w:hAnsi="Times New Roman" w:eastAsia="黑体" w:cs="Times New Roman"/>
          <w:b w:val="0"/>
          <w:sz w:val="28"/>
          <w:szCs w:val="28"/>
          <w:highlight w:val="none"/>
        </w:rPr>
        <w:t>5. 材料和工程设备</w:t>
      </w:r>
      <w:bookmarkEnd w:id="1038"/>
      <w:bookmarkEnd w:id="1039"/>
      <w:bookmarkEnd w:id="1040"/>
      <w:bookmarkEnd w:id="1041"/>
    </w:p>
    <w:p w14:paraId="4DF749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42" w:name="_Toc25834"/>
      <w:bookmarkStart w:id="1043" w:name="_Toc234833146"/>
      <w:bookmarkStart w:id="1044" w:name="_Toc25319"/>
      <w:bookmarkStart w:id="1045" w:name="_Toc20587"/>
      <w:r>
        <w:rPr>
          <w:rFonts w:hint="default" w:ascii="Times New Roman" w:hAnsi="Times New Roman" w:eastAsia="黑体" w:cs="Times New Roman"/>
          <w:b w:val="0"/>
          <w:sz w:val="24"/>
          <w:szCs w:val="24"/>
          <w:highlight w:val="none"/>
        </w:rPr>
        <w:t>5.2 发包人提供的材料和工程设备</w:t>
      </w:r>
      <w:bookmarkEnd w:id="1042"/>
      <w:bookmarkEnd w:id="1043"/>
      <w:bookmarkEnd w:id="1044"/>
      <w:bookmarkEnd w:id="1045"/>
    </w:p>
    <w:p w14:paraId="3B76615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第5.2.3项补充：</w:t>
      </w:r>
    </w:p>
    <w:p w14:paraId="78BD87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E35DFB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46" w:name="_Toc234833147"/>
      <w:bookmarkStart w:id="1047" w:name="_Toc11315"/>
      <w:bookmarkStart w:id="1048" w:name="_Toc11578"/>
      <w:bookmarkStart w:id="1049" w:name="_Toc24057"/>
      <w:r>
        <w:rPr>
          <w:rFonts w:hint="default" w:ascii="Times New Roman" w:hAnsi="Times New Roman" w:eastAsia="黑体" w:cs="Times New Roman"/>
          <w:b w:val="0"/>
          <w:sz w:val="28"/>
          <w:szCs w:val="28"/>
          <w:highlight w:val="none"/>
        </w:rPr>
        <w:t>6. 施工设备和临时设施</w:t>
      </w:r>
      <w:bookmarkEnd w:id="1046"/>
      <w:bookmarkEnd w:id="1047"/>
      <w:bookmarkEnd w:id="1048"/>
      <w:bookmarkEnd w:id="1049"/>
      <w:r>
        <w:rPr>
          <w:rFonts w:hint="default" w:ascii="Times New Roman" w:hAnsi="Times New Roman" w:eastAsia="黑体" w:cs="Times New Roman"/>
          <w:b w:val="0"/>
          <w:sz w:val="28"/>
          <w:szCs w:val="28"/>
          <w:highlight w:val="none"/>
        </w:rPr>
        <w:t xml:space="preserve"> </w:t>
      </w:r>
    </w:p>
    <w:p w14:paraId="13ADCBC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0" w:name="_Toc26020"/>
      <w:bookmarkStart w:id="1051" w:name="_Toc24564"/>
      <w:bookmarkStart w:id="1052" w:name="_Toc17122"/>
      <w:bookmarkStart w:id="1053" w:name="_Toc234833148"/>
      <w:r>
        <w:rPr>
          <w:rFonts w:hint="default" w:ascii="Times New Roman" w:hAnsi="Times New Roman" w:eastAsia="黑体" w:cs="Times New Roman"/>
          <w:b w:val="0"/>
          <w:sz w:val="24"/>
          <w:szCs w:val="24"/>
          <w:highlight w:val="none"/>
        </w:rPr>
        <w:t>6.1 承包人提供的施工设备和临时设施</w:t>
      </w:r>
      <w:bookmarkEnd w:id="1050"/>
      <w:bookmarkEnd w:id="1051"/>
      <w:bookmarkEnd w:id="1052"/>
      <w:bookmarkEnd w:id="1053"/>
    </w:p>
    <w:p w14:paraId="76C0FF3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第6.1.2项约定为：</w:t>
      </w:r>
    </w:p>
    <w:p w14:paraId="318CC4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承包人应自行承担修建临时设施的费用，需要临时占地的，应由承包人按第4.1.10项（1）目的规定办理。</w:t>
      </w:r>
    </w:p>
    <w:p w14:paraId="55EAFE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4" w:name="_Toc26585"/>
      <w:bookmarkStart w:id="1055" w:name="_Toc10697"/>
      <w:bookmarkStart w:id="1056" w:name="_Toc234833149"/>
      <w:bookmarkStart w:id="1057" w:name="_Toc28402"/>
      <w:r>
        <w:rPr>
          <w:rFonts w:hint="default" w:ascii="Times New Roman" w:hAnsi="Times New Roman" w:eastAsia="黑体" w:cs="Times New Roman"/>
          <w:b w:val="0"/>
          <w:sz w:val="24"/>
          <w:szCs w:val="24"/>
          <w:highlight w:val="none"/>
        </w:rPr>
        <w:t>6.3 要求承包人增加或更换施工设备</w:t>
      </w:r>
      <w:bookmarkEnd w:id="1054"/>
      <w:bookmarkEnd w:id="1055"/>
      <w:bookmarkEnd w:id="1056"/>
      <w:bookmarkEnd w:id="1057"/>
    </w:p>
    <w:p w14:paraId="22249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90D9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9C0A09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58" w:name="_Toc18573"/>
      <w:bookmarkStart w:id="1059" w:name="_Toc234833150"/>
      <w:bookmarkStart w:id="1060" w:name="_Toc30626"/>
      <w:bookmarkStart w:id="1061" w:name="_Toc28894"/>
      <w:r>
        <w:rPr>
          <w:rFonts w:hint="default" w:ascii="Times New Roman" w:hAnsi="Times New Roman" w:eastAsia="黑体" w:cs="Times New Roman"/>
          <w:b w:val="0"/>
          <w:sz w:val="28"/>
          <w:szCs w:val="28"/>
          <w:highlight w:val="none"/>
        </w:rPr>
        <w:t>7. 交通运输</w:t>
      </w:r>
      <w:bookmarkEnd w:id="1058"/>
      <w:bookmarkEnd w:id="1059"/>
      <w:bookmarkEnd w:id="1060"/>
      <w:bookmarkEnd w:id="1061"/>
      <w:r>
        <w:rPr>
          <w:rFonts w:hint="default" w:ascii="Times New Roman" w:hAnsi="Times New Roman" w:eastAsia="黑体" w:cs="Times New Roman"/>
          <w:b w:val="0"/>
          <w:sz w:val="28"/>
          <w:szCs w:val="28"/>
          <w:highlight w:val="none"/>
        </w:rPr>
        <w:t xml:space="preserve"> </w:t>
      </w:r>
    </w:p>
    <w:p w14:paraId="66D030F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62" w:name="_Toc234833151"/>
      <w:bookmarkStart w:id="1063" w:name="_Toc24391"/>
      <w:bookmarkStart w:id="1064" w:name="_Toc3580"/>
      <w:bookmarkStart w:id="1065" w:name="_Toc6041"/>
      <w:r>
        <w:rPr>
          <w:rFonts w:hint="default" w:ascii="Times New Roman" w:hAnsi="Times New Roman" w:eastAsia="黑体" w:cs="Times New Roman"/>
          <w:b w:val="0"/>
          <w:sz w:val="24"/>
          <w:szCs w:val="24"/>
          <w:highlight w:val="none"/>
        </w:rPr>
        <w:t>7.1 道路通行权和场外设施</w:t>
      </w:r>
      <w:bookmarkEnd w:id="1062"/>
      <w:bookmarkEnd w:id="1063"/>
      <w:bookmarkEnd w:id="1064"/>
      <w:bookmarkEnd w:id="1065"/>
    </w:p>
    <w:p w14:paraId="3CAC849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645FD1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1D8599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66" w:name="_Toc234833152"/>
      <w:bookmarkStart w:id="1067" w:name="_Toc6333"/>
      <w:bookmarkStart w:id="1068" w:name="_Toc31528"/>
      <w:bookmarkStart w:id="1069" w:name="_Toc30503"/>
      <w:r>
        <w:rPr>
          <w:rFonts w:hint="default" w:ascii="Times New Roman" w:hAnsi="Times New Roman" w:eastAsia="黑体" w:cs="Times New Roman"/>
          <w:b w:val="0"/>
          <w:sz w:val="28"/>
          <w:szCs w:val="28"/>
          <w:highlight w:val="none"/>
        </w:rPr>
        <w:t>8. 测量放线</w:t>
      </w:r>
      <w:bookmarkEnd w:id="1066"/>
      <w:bookmarkEnd w:id="1067"/>
      <w:bookmarkEnd w:id="1068"/>
      <w:bookmarkEnd w:id="1069"/>
    </w:p>
    <w:p w14:paraId="2CCA2D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0" w:name="_Toc26266"/>
      <w:bookmarkStart w:id="1071" w:name="_Toc26436"/>
      <w:bookmarkStart w:id="1072" w:name="_Toc234833153"/>
      <w:bookmarkStart w:id="1073" w:name="_Toc20955"/>
      <w:r>
        <w:rPr>
          <w:rFonts w:hint="default" w:ascii="Times New Roman" w:hAnsi="Times New Roman" w:eastAsia="黑体" w:cs="Times New Roman"/>
          <w:b w:val="0"/>
          <w:sz w:val="24"/>
          <w:szCs w:val="24"/>
          <w:highlight w:val="none"/>
        </w:rPr>
        <w:t>8.4 监理人使用施工控制网</w:t>
      </w:r>
      <w:bookmarkEnd w:id="1070"/>
      <w:bookmarkEnd w:id="1071"/>
      <w:bookmarkEnd w:id="1072"/>
      <w:bookmarkEnd w:id="1073"/>
    </w:p>
    <w:p w14:paraId="4E3378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E0160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经监理人批准，其他相关承包人也可免费使用施工控制网。</w:t>
      </w:r>
    </w:p>
    <w:p w14:paraId="5440DC4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74" w:name="_Toc234833154"/>
      <w:bookmarkStart w:id="1075" w:name="_Toc30552"/>
      <w:bookmarkStart w:id="1076" w:name="_Toc31525"/>
      <w:bookmarkStart w:id="1077" w:name="_Toc13649"/>
      <w:r>
        <w:rPr>
          <w:rFonts w:hint="default" w:ascii="Times New Roman" w:hAnsi="Times New Roman" w:eastAsia="黑体" w:cs="Times New Roman"/>
          <w:b w:val="0"/>
          <w:sz w:val="28"/>
          <w:szCs w:val="28"/>
          <w:highlight w:val="none"/>
        </w:rPr>
        <w:t>9. 施工安全、治安保卫和环境保护</w:t>
      </w:r>
      <w:bookmarkEnd w:id="1074"/>
      <w:bookmarkEnd w:id="1075"/>
      <w:bookmarkEnd w:id="1076"/>
      <w:bookmarkEnd w:id="1077"/>
    </w:p>
    <w:p w14:paraId="257A442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8" w:name="_Toc234833155"/>
      <w:bookmarkStart w:id="1079" w:name="_Toc22581"/>
      <w:bookmarkStart w:id="1080" w:name="_Toc12442"/>
      <w:bookmarkStart w:id="1081" w:name="_Toc16643"/>
      <w:r>
        <w:rPr>
          <w:rFonts w:hint="default" w:ascii="Times New Roman" w:hAnsi="Times New Roman" w:eastAsia="黑体" w:cs="Times New Roman"/>
          <w:b w:val="0"/>
          <w:sz w:val="24"/>
          <w:szCs w:val="24"/>
          <w:highlight w:val="none"/>
        </w:rPr>
        <w:t>9.2 承包人的施工安全责任</w:t>
      </w:r>
      <w:bookmarkEnd w:id="1078"/>
      <w:bookmarkEnd w:id="1079"/>
      <w:bookmarkEnd w:id="1080"/>
      <w:bookmarkEnd w:id="1081"/>
    </w:p>
    <w:p w14:paraId="1663CA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第9.2.1项细化为：</w:t>
      </w:r>
    </w:p>
    <w:p w14:paraId="701BE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CC1E5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47E33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本项目需要编制专项施工方案的工程包括但不限于以下内容：</w:t>
      </w:r>
    </w:p>
    <w:p w14:paraId="61BDB0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（1）不良地质条件下有潜在危险性的土方、石方开挖；</w:t>
      </w:r>
    </w:p>
    <w:p w14:paraId="0610F6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（2）滑坡和高边坡处理；</w:t>
      </w:r>
    </w:p>
    <w:p w14:paraId="5296BB8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（3）桩基础、挡墙基础、深水基础及围堰工程；</w:t>
      </w:r>
    </w:p>
    <w:p w14:paraId="1CDCF4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（4）桥梁工程中的梁、拱、柱等构件施工等；</w:t>
      </w:r>
    </w:p>
    <w:p w14:paraId="2CBCAF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（5）隧道工程中的不良地质隧道、高瓦斯隧道等；</w:t>
      </w:r>
    </w:p>
    <w:p w14:paraId="7AD145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（6）水上工程中的打桩船作业、施工船作业、外海孤岛作业、边通航边施工作业等；</w:t>
      </w:r>
    </w:p>
    <w:p w14:paraId="43307B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（7）水下工程中的水下焊接、混凝土浇筑、爆破工程等；</w:t>
      </w:r>
    </w:p>
    <w:p w14:paraId="4C7310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（8）爆破工程；</w:t>
      </w:r>
    </w:p>
    <w:p w14:paraId="15A11C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（9）大型临时工程中的大型支架、模板、便桥的架设与拆除；桥梁、码头的加固与拆除；</w:t>
      </w:r>
    </w:p>
    <w:p w14:paraId="5D545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（10）其他危险性较大的工程。</w:t>
      </w:r>
    </w:p>
    <w:p w14:paraId="301FAA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监理人和发包人在检查中发现有安全问题或有违反安全管理规章制度的情况时，可视为承包人违约，应按第22.1款的规定办理。</w:t>
      </w:r>
    </w:p>
    <w:p w14:paraId="590708D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第9.2.5项细化为：</w:t>
      </w:r>
    </w:p>
    <w:p w14:paraId="216E3EF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6B4B9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本款补充第9.2.8项~第9.2.11项：</w:t>
      </w:r>
    </w:p>
    <w:p w14:paraId="50817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9.2.8 承包人应充分关注和保障所有在现场工作的人员的安全，采取以下有效措施，使现场和本合同工程的实施保持有条不紊，以免使上述人员的安全受到威胁。</w:t>
      </w:r>
    </w:p>
    <w:p w14:paraId="0D014C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（1）按《公路水运工程安全生产监督管理办法》规定的最低数量和资质条件配备专职安全生产管理人员；</w:t>
      </w:r>
    </w:p>
    <w:p w14:paraId="0411A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3A49C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（3）所有施工机具设备和高空作业设备均应定期检查，并有安全员的签字记录；</w:t>
      </w:r>
    </w:p>
    <w:p w14:paraId="7CC7F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（4）根据本合同各单位工程的施工特点，严格执行《公路水运工程安全生产监督管理办法》《公路工程施工安全技术规范》等有关规定。</w:t>
      </w:r>
    </w:p>
    <w:p w14:paraId="74E7C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9D36E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9.2.10 在通航水域施工时，承包人应与当地主管部门取得联系，设置必要的导航标志，及时发布航行通告，确保施工水域安全。</w:t>
      </w:r>
    </w:p>
    <w:p w14:paraId="732262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99AEDD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82" w:name="_Toc4067"/>
      <w:bookmarkStart w:id="1083" w:name="_Toc25805"/>
      <w:bookmarkStart w:id="1084" w:name="_Toc234833156"/>
      <w:bookmarkStart w:id="1085" w:name="_Toc23200"/>
      <w:r>
        <w:rPr>
          <w:rFonts w:hint="default" w:ascii="Times New Roman" w:hAnsi="Times New Roman" w:eastAsia="黑体" w:cs="Times New Roman"/>
          <w:b w:val="0"/>
          <w:sz w:val="24"/>
          <w:szCs w:val="24"/>
          <w:highlight w:val="none"/>
        </w:rPr>
        <w:t>9.4 环境保护</w:t>
      </w:r>
      <w:bookmarkEnd w:id="1082"/>
      <w:bookmarkEnd w:id="1083"/>
      <w:bookmarkEnd w:id="1084"/>
      <w:bookmarkEnd w:id="1085"/>
    </w:p>
    <w:p w14:paraId="6F996A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本款补充第9.4.7项~第9.4.11项：</w:t>
      </w:r>
    </w:p>
    <w:p w14:paraId="1BFA49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9.4.7 承包人应切实执行技术规范中有关环境保护方面的条款和规定。</w:t>
      </w:r>
    </w:p>
    <w:p w14:paraId="19071D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FD075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（2）对于公路施工中粉尘污染的主要污染源――灰土拌和、施工车辆和筑路机械运行及运输产生的扬尘，应采取有效措施减轻其对施工现场的大气污染，保护人民健康，如：</w:t>
      </w:r>
    </w:p>
    <w:p w14:paraId="074218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拌和设备应有较好的密封，或有防尘设备。</w:t>
      </w:r>
    </w:p>
    <w:p w14:paraId="58B082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施工通道、沥青混凝土拌和站及灰土拌和站应经常进行洒水降尘。</w:t>
      </w:r>
    </w:p>
    <w:p w14:paraId="48FD44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路面施工应注意保持水分，以免扬尘。</w:t>
      </w:r>
    </w:p>
    <w:p w14:paraId="0F3815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d. 隧道出渣和桥梁钻孔灌注桩施工时排出的泥浆要进行妥善处理，严禁向河流或农田排放。</w:t>
      </w:r>
    </w:p>
    <w:p w14:paraId="6396D2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（3）采取可靠措施保证原有交通的正常通行，维持沿线村镇的居民饮水、农田灌溉、生产生活用电及通信等管线的正常使用。</w:t>
      </w:r>
    </w:p>
    <w:p w14:paraId="070E53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5C81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9.4.9在施工期间，承包人应随时保持现场整洁，施工设备和材料、工程设备应整齐妥善存放和储存，废料与垃圾及不再需要的临时设施应及时从现场清除、拆除并运走。</w:t>
      </w:r>
    </w:p>
    <w:p w14:paraId="33121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7CA7A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395F3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86" w:name="_Toc2443"/>
      <w:bookmarkStart w:id="1087" w:name="_Toc10625"/>
      <w:bookmarkStart w:id="1088" w:name="_Toc14910"/>
      <w:bookmarkStart w:id="1089" w:name="_Toc234833157"/>
      <w:r>
        <w:rPr>
          <w:rFonts w:hint="default" w:ascii="Times New Roman" w:hAnsi="Times New Roman" w:eastAsia="黑体" w:cs="Times New Roman"/>
          <w:b w:val="0"/>
          <w:sz w:val="28"/>
          <w:szCs w:val="28"/>
          <w:highlight w:val="none"/>
        </w:rPr>
        <w:t>10. 进度计划</w:t>
      </w:r>
      <w:bookmarkEnd w:id="1086"/>
      <w:bookmarkEnd w:id="1087"/>
      <w:bookmarkEnd w:id="1088"/>
      <w:bookmarkEnd w:id="1089"/>
    </w:p>
    <w:p w14:paraId="5F0F6A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0" w:name="_Toc19701"/>
      <w:bookmarkStart w:id="1091" w:name="_Toc13304"/>
      <w:bookmarkStart w:id="1092" w:name="_Toc234833158"/>
      <w:bookmarkStart w:id="1093" w:name="_Toc29662"/>
      <w:r>
        <w:rPr>
          <w:rFonts w:hint="default" w:ascii="Times New Roman" w:hAnsi="Times New Roman" w:eastAsia="黑体" w:cs="Times New Roman"/>
          <w:b w:val="0"/>
          <w:sz w:val="24"/>
          <w:szCs w:val="24"/>
          <w:highlight w:val="none"/>
        </w:rPr>
        <w:t>10.1 合同进度计划</w:t>
      </w:r>
      <w:bookmarkEnd w:id="1090"/>
      <w:bookmarkEnd w:id="1091"/>
      <w:bookmarkEnd w:id="1092"/>
      <w:bookmarkEnd w:id="1093"/>
    </w:p>
    <w:p w14:paraId="1CA671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956E4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承包人编制施工方案说明的内容见项目专用合同条款。</w:t>
      </w:r>
    </w:p>
    <w:p w14:paraId="61D49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承包人向监理人报送施工进度计划和施工方案说明的期限：签订合同协议书后28天之内。</w:t>
      </w:r>
    </w:p>
    <w:p w14:paraId="267552F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监理人应在14天内对承包人施工进度计划和施工方案说明予以批复或提出修改意见。</w:t>
      </w:r>
    </w:p>
    <w:p w14:paraId="30965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合同进度计划应按照关键线路网络图和主要工作横道图两种形式分别编绘，并应包括每月预计完成的工作量和形象进度。</w:t>
      </w:r>
    </w:p>
    <w:p w14:paraId="263392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4" w:name="_Toc4429"/>
      <w:bookmarkStart w:id="1095" w:name="_Toc234833159"/>
      <w:bookmarkStart w:id="1096" w:name="_Toc16914"/>
      <w:bookmarkStart w:id="1097" w:name="_Toc24615"/>
      <w:r>
        <w:rPr>
          <w:rFonts w:hint="default" w:ascii="Times New Roman" w:hAnsi="Times New Roman" w:eastAsia="黑体" w:cs="Times New Roman"/>
          <w:b w:val="0"/>
          <w:sz w:val="24"/>
          <w:szCs w:val="24"/>
          <w:highlight w:val="none"/>
        </w:rPr>
        <w:t>10.2 合同进度计划的修订</w:t>
      </w:r>
      <w:bookmarkEnd w:id="1094"/>
      <w:bookmarkEnd w:id="1095"/>
      <w:bookmarkEnd w:id="1096"/>
      <w:bookmarkEnd w:id="1097"/>
    </w:p>
    <w:p w14:paraId="5FA566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2A9B44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承包人提交合同进度计划修订申请报告，并附有关措施和相关资料的期限：实际进度发生滞后的当月25日前。</w:t>
      </w:r>
    </w:p>
    <w:p w14:paraId="466B58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监理人批复修订合同进度计划的期限：收到修订合同进度计划后14天内。</w:t>
      </w:r>
    </w:p>
    <w:p w14:paraId="1496C096">
      <w:pPr>
        <w:pageBreakBefore w:val="0"/>
        <w:kinsoku/>
        <w:wordWrap w:val="0"/>
        <w:bidi w:val="0"/>
        <w:spacing w:before="240" w:beforeLines="10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本条补充第10.3款、第10.4款：</w:t>
      </w:r>
    </w:p>
    <w:p w14:paraId="2EE8A4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8" w:name="_Toc12702"/>
      <w:bookmarkStart w:id="1099" w:name="_Toc5845"/>
      <w:bookmarkStart w:id="1100" w:name="_Toc638"/>
      <w:bookmarkStart w:id="1101" w:name="_Toc234833160"/>
      <w:r>
        <w:rPr>
          <w:rFonts w:hint="default" w:ascii="Times New Roman" w:hAnsi="Times New Roman" w:eastAsia="黑体" w:cs="Times New Roman"/>
          <w:b w:val="0"/>
          <w:sz w:val="24"/>
          <w:szCs w:val="24"/>
          <w:highlight w:val="none"/>
        </w:rPr>
        <w:t>10.3 年度施工计划</w:t>
      </w:r>
      <w:bookmarkEnd w:id="1098"/>
      <w:bookmarkEnd w:id="1099"/>
      <w:bookmarkEnd w:id="1100"/>
      <w:bookmarkEnd w:id="1101"/>
    </w:p>
    <w:p w14:paraId="603856D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30382B9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02" w:name="_Toc23614"/>
      <w:bookmarkStart w:id="1103" w:name="_Toc3557"/>
      <w:bookmarkStart w:id="1104" w:name="_Toc234833161"/>
      <w:bookmarkStart w:id="1105" w:name="_Toc26059"/>
      <w:r>
        <w:rPr>
          <w:rFonts w:hint="default" w:ascii="Times New Roman" w:hAnsi="Times New Roman" w:eastAsia="黑体" w:cs="Times New Roman"/>
          <w:b w:val="0"/>
          <w:sz w:val="24"/>
          <w:szCs w:val="24"/>
          <w:highlight w:val="none"/>
        </w:rPr>
        <w:t>10.4 合同用款计划</w:t>
      </w:r>
      <w:bookmarkEnd w:id="1102"/>
      <w:bookmarkEnd w:id="1103"/>
      <w:bookmarkEnd w:id="1104"/>
      <w:bookmarkEnd w:id="1105"/>
    </w:p>
    <w:p w14:paraId="7AF50B6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03089F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06" w:name="_Toc6483"/>
      <w:bookmarkStart w:id="1107" w:name="_Toc29145"/>
      <w:bookmarkStart w:id="1108" w:name="_Toc16858"/>
      <w:bookmarkStart w:id="1109" w:name="_Toc234833162"/>
      <w:r>
        <w:rPr>
          <w:rFonts w:hint="default" w:ascii="Times New Roman" w:hAnsi="Times New Roman" w:eastAsia="黑体" w:cs="Times New Roman"/>
          <w:b w:val="0"/>
          <w:sz w:val="28"/>
          <w:szCs w:val="28"/>
          <w:highlight w:val="none"/>
        </w:rPr>
        <w:t>11. 开工和交工</w:t>
      </w:r>
      <w:bookmarkEnd w:id="1106"/>
      <w:bookmarkEnd w:id="1107"/>
      <w:bookmarkEnd w:id="1108"/>
      <w:bookmarkEnd w:id="1109"/>
    </w:p>
    <w:p w14:paraId="24580D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0" w:name="_Toc211"/>
      <w:bookmarkStart w:id="1111" w:name="_Toc23342"/>
      <w:bookmarkStart w:id="1112" w:name="_Toc234833163"/>
      <w:bookmarkStart w:id="1113" w:name="_Toc19496"/>
      <w:r>
        <w:rPr>
          <w:rFonts w:hint="default" w:ascii="Times New Roman" w:hAnsi="Times New Roman" w:eastAsia="黑体" w:cs="Times New Roman"/>
          <w:b w:val="0"/>
          <w:sz w:val="24"/>
          <w:szCs w:val="24"/>
          <w:highlight w:val="none"/>
        </w:rPr>
        <w:t>11.1 开工</w:t>
      </w:r>
      <w:bookmarkEnd w:id="1110"/>
      <w:bookmarkEnd w:id="1111"/>
      <w:bookmarkEnd w:id="1112"/>
      <w:bookmarkEnd w:id="1113"/>
    </w:p>
    <w:p w14:paraId="1BA3AC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第11.1.2项补充：</w:t>
      </w:r>
    </w:p>
    <w:p w14:paraId="104460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49C3599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4" w:name="_Toc8362"/>
      <w:bookmarkStart w:id="1115" w:name="_Toc21145"/>
      <w:bookmarkStart w:id="1116" w:name="_Toc234833164"/>
      <w:bookmarkStart w:id="1117" w:name="_Toc2188"/>
      <w:r>
        <w:rPr>
          <w:rFonts w:hint="default" w:ascii="Times New Roman" w:hAnsi="Times New Roman" w:eastAsia="黑体" w:cs="Times New Roman"/>
          <w:b w:val="0"/>
          <w:sz w:val="24"/>
          <w:szCs w:val="24"/>
          <w:highlight w:val="none"/>
        </w:rPr>
        <w:t>11.3 发包人的工期延误</w:t>
      </w:r>
      <w:bookmarkEnd w:id="1114"/>
      <w:bookmarkEnd w:id="1115"/>
      <w:bookmarkEnd w:id="1116"/>
      <w:bookmarkEnd w:id="1117"/>
    </w:p>
    <w:p w14:paraId="3742F1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76CCAEA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即使由于上述原因造成工期延误，如果受影响的工程并非处在工程施工进度网络计划的关键线路上，则承包人无权要求延长总工期。</w:t>
      </w:r>
    </w:p>
    <w:p w14:paraId="487BE0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8" w:name="_Toc26694"/>
      <w:bookmarkStart w:id="1119" w:name="_Toc234833165"/>
      <w:bookmarkStart w:id="1120" w:name="_Toc2448"/>
      <w:bookmarkStart w:id="1121" w:name="_Toc2793"/>
      <w:r>
        <w:rPr>
          <w:rFonts w:hint="default" w:ascii="Times New Roman" w:hAnsi="Times New Roman" w:eastAsia="黑体" w:cs="Times New Roman"/>
          <w:b w:val="0"/>
          <w:sz w:val="24"/>
          <w:szCs w:val="24"/>
          <w:highlight w:val="none"/>
        </w:rPr>
        <w:t>11.4异常恶劣的气候条件</w:t>
      </w:r>
      <w:bookmarkEnd w:id="1118"/>
      <w:bookmarkEnd w:id="1119"/>
      <w:bookmarkEnd w:id="1120"/>
      <w:bookmarkEnd w:id="1121"/>
    </w:p>
    <w:p w14:paraId="15557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035C02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异常气候是指项目所在地30年以上一遇的罕见气候现象（包括</w:t>
      </w:r>
      <w:r>
        <w:rPr>
          <w:rFonts w:hint="default" w:ascii="Times New Roman" w:hAnsi="Times New Roman" w:cs="Times New Roman"/>
          <w:sz w:val="24"/>
          <w:highlight w:val="none"/>
        </w:rPr>
        <w:fldChar w:fldCharType="begin"/>
      </w:r>
      <w:r>
        <w:rPr>
          <w:rFonts w:hint="default" w:ascii="Times New Roman" w:hAnsi="Times New Roman" w:cs="Times New Roman"/>
          <w:sz w:val="24"/>
          <w:highlight w:val="none"/>
        </w:rPr>
        <w:instrText xml:space="preserve"> HYPERLINK "http://baike.baidu.com/view/8193.htm" \t "_blank" </w:instrText>
      </w:r>
      <w:r>
        <w:rPr>
          <w:rFonts w:hint="default" w:ascii="Times New Roman" w:hAnsi="Times New Roman" w:cs="Times New Roman"/>
          <w:sz w:val="24"/>
          <w:highlight w:val="none"/>
        </w:rPr>
        <w:fldChar w:fldCharType="separate"/>
      </w:r>
      <w:r>
        <w:rPr>
          <w:rFonts w:hint="default" w:ascii="Times New Roman" w:hAnsi="Times New Roman" w:cs="Times New Roman"/>
          <w:sz w:val="24"/>
          <w:highlight w:val="none"/>
        </w:rPr>
        <w:t>温度</w:t>
      </w:r>
      <w:r>
        <w:rPr>
          <w:rFonts w:hint="default" w:ascii="Times New Roman" w:hAnsi="Times New Roman" w:cs="Times New Roman"/>
          <w:sz w:val="24"/>
          <w:highlight w:val="none"/>
        </w:rPr>
        <w:fldChar w:fldCharType="end"/>
      </w:r>
      <w:r>
        <w:rPr>
          <w:rFonts w:hint="default" w:ascii="Times New Roman" w:hAnsi="Times New Roman" w:cs="Times New Roman"/>
          <w:sz w:val="24"/>
          <w:highlight w:val="none"/>
        </w:rPr>
        <w:t>、降水、降雪、风等）。异常恶劣的气候条件在项目专用合同条款中作具体约定。</w:t>
      </w:r>
    </w:p>
    <w:p w14:paraId="72B5404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22" w:name="_Toc13242"/>
      <w:bookmarkStart w:id="1123" w:name="_Toc21955"/>
      <w:bookmarkStart w:id="1124" w:name="_Toc234833166"/>
      <w:bookmarkStart w:id="1125" w:name="_Toc19354"/>
      <w:r>
        <w:rPr>
          <w:rFonts w:hint="default" w:ascii="Times New Roman" w:hAnsi="Times New Roman" w:eastAsia="黑体" w:cs="Times New Roman"/>
          <w:b w:val="0"/>
          <w:sz w:val="24"/>
          <w:szCs w:val="24"/>
          <w:highlight w:val="none"/>
        </w:rPr>
        <w:t>11.5 承包人的工期延误</w:t>
      </w:r>
      <w:bookmarkEnd w:id="1122"/>
      <w:bookmarkEnd w:id="1123"/>
      <w:bookmarkEnd w:id="1124"/>
      <w:bookmarkEnd w:id="1125"/>
    </w:p>
    <w:p w14:paraId="07FCF9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0368AF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71D8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B6B5FD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5D3D0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（4）承包人支付逾期交工违约金，不免除承包人完成工程及修补缺陷的义务。</w:t>
      </w:r>
    </w:p>
    <w:p w14:paraId="6F08FA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12B58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26" w:name="_Toc234833167"/>
      <w:bookmarkStart w:id="1127" w:name="_Toc24642"/>
      <w:bookmarkStart w:id="1128" w:name="_Toc25459"/>
      <w:bookmarkStart w:id="1129" w:name="_Toc21733"/>
      <w:r>
        <w:rPr>
          <w:rFonts w:hint="default" w:ascii="Times New Roman" w:hAnsi="Times New Roman" w:eastAsia="黑体" w:cs="Times New Roman"/>
          <w:b w:val="0"/>
          <w:sz w:val="24"/>
          <w:szCs w:val="24"/>
          <w:highlight w:val="none"/>
        </w:rPr>
        <w:t>11.6 工期提前</w:t>
      </w:r>
      <w:bookmarkEnd w:id="1126"/>
      <w:bookmarkEnd w:id="1127"/>
      <w:bookmarkEnd w:id="1128"/>
      <w:bookmarkEnd w:id="1129"/>
    </w:p>
    <w:p w14:paraId="5A3479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397642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发包人不得随意要求承包人提前交工，承包人也不得随意提出提前交工的建议。如遇特殊情况，确需将工期提前的，发包人和承包人必须采取有效措施，确保工程质量。</w:t>
      </w:r>
    </w:p>
    <w:p w14:paraId="6817A1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DF1A7C2">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092AD4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本条补充第11.7款：</w:t>
      </w:r>
    </w:p>
    <w:p w14:paraId="4199CDC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0" w:name="_Toc11965"/>
      <w:bookmarkStart w:id="1131" w:name="_Toc23743"/>
      <w:bookmarkStart w:id="1132" w:name="_Toc234833168"/>
      <w:bookmarkStart w:id="1133" w:name="_Toc29501"/>
      <w:r>
        <w:rPr>
          <w:rFonts w:hint="default" w:ascii="Times New Roman" w:hAnsi="Times New Roman" w:eastAsia="黑体" w:cs="Times New Roman"/>
          <w:b w:val="0"/>
          <w:sz w:val="24"/>
          <w:szCs w:val="24"/>
          <w:highlight w:val="none"/>
        </w:rPr>
        <w:t>11.7 工作时间的限制</w:t>
      </w:r>
      <w:bookmarkEnd w:id="1130"/>
      <w:bookmarkEnd w:id="1131"/>
      <w:bookmarkEnd w:id="1132"/>
      <w:bookmarkEnd w:id="1133"/>
    </w:p>
    <w:p w14:paraId="6E9925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承包人在夜间或国家规定的节假日进行永久工程的施工，应向监理人报告，以便监理人履行监理职责和义务。</w:t>
      </w:r>
    </w:p>
    <w:p w14:paraId="00FFDB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但是，为了抢救生命或保护财产，或为了工程的安全、质量而不可避免地短暂作业，则不必事先向监理人报告。但承包人应在事后立即向监理人报告。</w:t>
      </w:r>
    </w:p>
    <w:p w14:paraId="4E3B613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本款规定不适用于习惯上或施工本身要求实行连续生产的作业。</w:t>
      </w:r>
    </w:p>
    <w:p w14:paraId="387BE2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34" w:name="_Toc21568"/>
      <w:bookmarkStart w:id="1135" w:name="_Toc234833169"/>
      <w:bookmarkStart w:id="1136" w:name="_Toc10095"/>
      <w:bookmarkStart w:id="1137" w:name="_Toc28933"/>
      <w:r>
        <w:rPr>
          <w:rFonts w:hint="default" w:ascii="Times New Roman" w:hAnsi="Times New Roman" w:eastAsia="黑体" w:cs="Times New Roman"/>
          <w:b w:val="0"/>
          <w:sz w:val="28"/>
          <w:szCs w:val="28"/>
          <w:highlight w:val="none"/>
        </w:rPr>
        <w:t>12. 暂停施工</w:t>
      </w:r>
      <w:bookmarkEnd w:id="1134"/>
      <w:bookmarkEnd w:id="1135"/>
      <w:bookmarkEnd w:id="1136"/>
      <w:bookmarkEnd w:id="1137"/>
    </w:p>
    <w:p w14:paraId="01C458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8" w:name="_Toc19976"/>
      <w:bookmarkStart w:id="1139" w:name="_Toc15852"/>
      <w:bookmarkStart w:id="1140" w:name="_Toc24281"/>
      <w:bookmarkStart w:id="1141" w:name="_Toc234833170"/>
      <w:r>
        <w:rPr>
          <w:rFonts w:hint="default" w:ascii="Times New Roman" w:hAnsi="Times New Roman" w:eastAsia="黑体" w:cs="Times New Roman"/>
          <w:b w:val="0"/>
          <w:sz w:val="24"/>
          <w:szCs w:val="24"/>
          <w:highlight w:val="none"/>
        </w:rPr>
        <w:t>12.1 承包人暂停施工的责任</w:t>
      </w:r>
      <w:bookmarkEnd w:id="1138"/>
      <w:bookmarkEnd w:id="1139"/>
      <w:bookmarkEnd w:id="1140"/>
      <w:bookmarkEnd w:id="1141"/>
    </w:p>
    <w:p w14:paraId="7ABA84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本款第（5）项细化为：</w:t>
      </w:r>
    </w:p>
    <w:p w14:paraId="2509E7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（5）现场气候条件导致的必要停工（第11.4款约定的异常恶劣的气候条件除外）；</w:t>
      </w:r>
    </w:p>
    <w:p w14:paraId="53D4C2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（6）项目专用合同条款可能约定的由承包人承担的其他暂停施工。</w:t>
      </w:r>
    </w:p>
    <w:p w14:paraId="30B15FA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42" w:name="_Toc139"/>
      <w:bookmarkStart w:id="1143" w:name="_Toc234833171"/>
      <w:bookmarkStart w:id="1144" w:name="_Toc1341"/>
      <w:bookmarkStart w:id="1145" w:name="_Toc22379"/>
      <w:r>
        <w:rPr>
          <w:rFonts w:hint="default" w:ascii="Times New Roman" w:hAnsi="Times New Roman" w:eastAsia="黑体" w:cs="Times New Roman"/>
          <w:b w:val="0"/>
          <w:sz w:val="28"/>
          <w:szCs w:val="28"/>
          <w:highlight w:val="none"/>
        </w:rPr>
        <w:t>13. 工程质量</w:t>
      </w:r>
      <w:bookmarkEnd w:id="1142"/>
      <w:bookmarkEnd w:id="1143"/>
      <w:bookmarkEnd w:id="1144"/>
      <w:bookmarkEnd w:id="1145"/>
    </w:p>
    <w:p w14:paraId="1C8C60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46" w:name="_Toc940"/>
      <w:bookmarkStart w:id="1147" w:name="_Toc30210"/>
      <w:bookmarkStart w:id="1148" w:name="_Toc14295"/>
      <w:bookmarkStart w:id="1149" w:name="_Toc234833172"/>
      <w:r>
        <w:rPr>
          <w:rFonts w:hint="default" w:ascii="Times New Roman" w:hAnsi="Times New Roman" w:eastAsia="黑体" w:cs="Times New Roman"/>
          <w:b w:val="0"/>
          <w:sz w:val="24"/>
          <w:szCs w:val="24"/>
          <w:highlight w:val="none"/>
        </w:rPr>
        <w:t>13.1 工程质量要求</w:t>
      </w:r>
      <w:bookmarkEnd w:id="1146"/>
      <w:bookmarkEnd w:id="1147"/>
      <w:bookmarkEnd w:id="1148"/>
      <w:bookmarkEnd w:id="1149"/>
    </w:p>
    <w:p w14:paraId="1074D4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第13.1.1项约定为：</w:t>
      </w:r>
    </w:p>
    <w:p w14:paraId="2B6BDF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工程质量验收按技术规范及《公路工程质量检验评定标准》执行。</w:t>
      </w:r>
    </w:p>
    <w:p w14:paraId="736EEB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本款补充第13.1.4项、第13.1.5项：</w:t>
      </w:r>
    </w:p>
    <w:p w14:paraId="0B32BA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13.1.4 发包人和承包人应严格遵守《关于严格落实公路工程质量责任制的若干意见》的相关规定，认真执行工程质量责任登记制度并</w:t>
      </w:r>
      <w:r>
        <w:rPr>
          <w:rFonts w:hint="default" w:ascii="Times New Roman" w:hAnsi="Times New Roman" w:cs="Times New Roman"/>
          <w:kern w:val="0"/>
          <w:sz w:val="24"/>
          <w:highlight w:val="none"/>
        </w:rPr>
        <w:t>按要求填写工程质量责任登记表</w:t>
      </w:r>
      <w:r>
        <w:rPr>
          <w:rFonts w:hint="default" w:ascii="Times New Roman" w:hAnsi="Times New Roman" w:cs="Times New Roman"/>
          <w:sz w:val="24"/>
          <w:highlight w:val="none"/>
        </w:rPr>
        <w:t>。</w:t>
      </w:r>
    </w:p>
    <w:p w14:paraId="7C5C46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13.1.5 本项目严格执行质量责任追究制度。质量事故处理实行</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原则：事故原因调查不清不放过；事故责任者没有受到教育不放过；没有防范措施不放过；相关责任人没受到处理不放过。</w:t>
      </w:r>
    </w:p>
    <w:p w14:paraId="6031479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0" w:name="_Toc234833173"/>
      <w:bookmarkStart w:id="1151" w:name="_Toc12268"/>
      <w:bookmarkStart w:id="1152" w:name="_Toc8253"/>
      <w:bookmarkStart w:id="1153" w:name="_Toc19759"/>
      <w:r>
        <w:rPr>
          <w:rFonts w:hint="default" w:ascii="Times New Roman" w:hAnsi="Times New Roman" w:eastAsia="黑体" w:cs="Times New Roman"/>
          <w:b w:val="0"/>
          <w:sz w:val="24"/>
          <w:szCs w:val="24"/>
          <w:highlight w:val="none"/>
        </w:rPr>
        <w:t>13.2 承包人的质量管理</w:t>
      </w:r>
      <w:bookmarkEnd w:id="1150"/>
      <w:bookmarkEnd w:id="1151"/>
      <w:bookmarkEnd w:id="1152"/>
      <w:bookmarkEnd w:id="1153"/>
    </w:p>
    <w:p w14:paraId="695EB4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第13.2.1项补充：</w:t>
      </w:r>
    </w:p>
    <w:p w14:paraId="3E5664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承包人提交工程质量保证措施文件的期限：签订合同协议书后28天之内。</w:t>
      </w:r>
    </w:p>
    <w:p w14:paraId="6216D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本款补充第13.2.3项~第13.2.10项：</w:t>
      </w:r>
    </w:p>
    <w:p w14:paraId="58C0C6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13.2.3 公路工程施行质量责任终身制。承包人应当书面明确相应的项目负责人和质量负责人。承包人的相关人员按照国家法律法规和有关规定在工程合理使用年限内承担相应的质量责任。</w:t>
      </w:r>
    </w:p>
    <w:p w14:paraId="2C9A59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FBFD8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13.2.5 承包人对工程施工质量负责，应当按合同约定设立现场质量管理机构、配备工程技术人员和质量管理人员，落实工程施工质量责任制。</w:t>
      </w:r>
    </w:p>
    <w:p w14:paraId="2BF70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FBF52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5A07E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7E59E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13.2.9 承包人应当依法规范分包行为，并对承担的工程质量负总责，分包单位对分包合同范围内的工程质量负责。</w:t>
      </w:r>
    </w:p>
    <w:p w14:paraId="57779C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13.2.10 承包人驻工程现场机构应在现场驻地和重要的分部、分项工程施工现场设置明显的工程质量责任登记表公示牌。</w:t>
      </w:r>
    </w:p>
    <w:p w14:paraId="6B73A6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4" w:name="_Toc1657"/>
      <w:bookmarkStart w:id="1155" w:name="_Toc17725"/>
      <w:bookmarkStart w:id="1156" w:name="_Toc20957"/>
      <w:bookmarkStart w:id="1157" w:name="_Toc234833174"/>
      <w:r>
        <w:rPr>
          <w:rFonts w:hint="default" w:ascii="Times New Roman" w:hAnsi="Times New Roman" w:eastAsia="黑体" w:cs="Times New Roman"/>
          <w:b w:val="0"/>
          <w:sz w:val="24"/>
          <w:szCs w:val="24"/>
          <w:highlight w:val="none"/>
        </w:rPr>
        <w:t>13.4 监理人的质量检查</w:t>
      </w:r>
      <w:bookmarkEnd w:id="1154"/>
      <w:bookmarkEnd w:id="1155"/>
      <w:bookmarkEnd w:id="1156"/>
      <w:bookmarkEnd w:id="1157"/>
    </w:p>
    <w:p w14:paraId="7D552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5AF482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4639A9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DC72A3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8" w:name="_Toc234833175"/>
      <w:bookmarkStart w:id="1159" w:name="_Toc24829"/>
      <w:bookmarkStart w:id="1160" w:name="_Toc31604"/>
      <w:bookmarkStart w:id="1161" w:name="_Toc15131"/>
      <w:r>
        <w:rPr>
          <w:rFonts w:hint="default" w:ascii="Times New Roman" w:hAnsi="Times New Roman" w:eastAsia="黑体" w:cs="Times New Roman"/>
          <w:b w:val="0"/>
          <w:sz w:val="24"/>
          <w:szCs w:val="24"/>
          <w:highlight w:val="none"/>
        </w:rPr>
        <w:t>13.5 工程隐蔽部位覆盖前的检查</w:t>
      </w:r>
      <w:bookmarkEnd w:id="1158"/>
      <w:bookmarkEnd w:id="1159"/>
      <w:bookmarkEnd w:id="1160"/>
      <w:bookmarkEnd w:id="1161"/>
    </w:p>
    <w:p w14:paraId="17D58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第13.5.1项补充：</w:t>
      </w:r>
    </w:p>
    <w:p w14:paraId="622973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F01BAA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62" w:name="_Toc1659"/>
      <w:bookmarkStart w:id="1163" w:name="_Toc19441"/>
      <w:bookmarkStart w:id="1164" w:name="_Toc234833176"/>
      <w:bookmarkStart w:id="1165" w:name="_Toc21958"/>
      <w:r>
        <w:rPr>
          <w:rFonts w:hint="default" w:ascii="Times New Roman" w:hAnsi="Times New Roman" w:eastAsia="黑体" w:cs="Times New Roman"/>
          <w:b w:val="0"/>
          <w:sz w:val="24"/>
          <w:szCs w:val="24"/>
          <w:highlight w:val="none"/>
        </w:rPr>
        <w:t>13.6 清除不合格工程</w:t>
      </w:r>
      <w:bookmarkEnd w:id="1162"/>
      <w:bookmarkEnd w:id="1163"/>
      <w:bookmarkEnd w:id="1164"/>
      <w:bookmarkEnd w:id="1165"/>
    </w:p>
    <w:p w14:paraId="218CCD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第13.6.1项细化为：</w:t>
      </w:r>
    </w:p>
    <w:p w14:paraId="5E47E87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441F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（2）如果承包人未在规定时间内执行监理人的指示，发包人有权雇用他人执行，由此增加的费用和（或）工期延误由承包人承担。</w:t>
      </w:r>
    </w:p>
    <w:p w14:paraId="4797E299">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66" w:name="_Toc12972"/>
      <w:bookmarkStart w:id="1167" w:name="_Toc234833177"/>
      <w:bookmarkStart w:id="1168" w:name="_Toc30652"/>
      <w:bookmarkStart w:id="1169" w:name="_Toc17523"/>
      <w:r>
        <w:rPr>
          <w:rFonts w:hint="default" w:ascii="Times New Roman" w:hAnsi="Times New Roman" w:eastAsia="黑体" w:cs="Times New Roman"/>
          <w:b w:val="0"/>
          <w:sz w:val="28"/>
          <w:szCs w:val="28"/>
          <w:highlight w:val="none"/>
        </w:rPr>
        <w:t>14. 试验和检验</w:t>
      </w:r>
      <w:bookmarkEnd w:id="1166"/>
      <w:bookmarkEnd w:id="1167"/>
      <w:bookmarkEnd w:id="1168"/>
      <w:bookmarkEnd w:id="1169"/>
    </w:p>
    <w:p w14:paraId="7E74EA3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本条补充第14.4款：</w:t>
      </w:r>
    </w:p>
    <w:p w14:paraId="7F2011F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0" w:name="_Toc18957"/>
      <w:bookmarkStart w:id="1171" w:name="_Toc10470"/>
      <w:bookmarkStart w:id="1172" w:name="_Toc8486"/>
      <w:bookmarkStart w:id="1173" w:name="_Toc234833178"/>
      <w:r>
        <w:rPr>
          <w:rFonts w:hint="default" w:ascii="Times New Roman" w:hAnsi="Times New Roman" w:eastAsia="黑体" w:cs="Times New Roman"/>
          <w:b w:val="0"/>
          <w:sz w:val="24"/>
          <w:szCs w:val="24"/>
          <w:highlight w:val="none"/>
        </w:rPr>
        <w:t>14.4 试验和检验费用</w:t>
      </w:r>
      <w:bookmarkEnd w:id="1170"/>
      <w:bookmarkEnd w:id="1171"/>
      <w:bookmarkEnd w:id="1172"/>
      <w:bookmarkEnd w:id="1173"/>
    </w:p>
    <w:p w14:paraId="2A555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（1）承包人应负责提供合同和技术规范规定的试验和检验所需的全部样品，并承担其费用。</w:t>
      </w:r>
    </w:p>
    <w:p w14:paraId="5114C6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（2）在合同中明确规定的试验和检验，包括无须在工程量清单中单独列项和已在工程量清单中单独列项的试验和检验，其试验和检验的费用由承包人承担。</w:t>
      </w:r>
    </w:p>
    <w:p w14:paraId="02D205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C56F3F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74" w:name="_Toc18804"/>
      <w:bookmarkStart w:id="1175" w:name="_Toc24940"/>
      <w:bookmarkStart w:id="1176" w:name="_Toc9387"/>
      <w:bookmarkStart w:id="1177" w:name="_Toc234833179"/>
      <w:r>
        <w:rPr>
          <w:rFonts w:hint="default" w:ascii="Times New Roman" w:hAnsi="Times New Roman" w:eastAsia="黑体" w:cs="Times New Roman"/>
          <w:b w:val="0"/>
          <w:sz w:val="28"/>
          <w:szCs w:val="28"/>
          <w:highlight w:val="none"/>
        </w:rPr>
        <w:t>15. 变更</w:t>
      </w:r>
      <w:bookmarkEnd w:id="1174"/>
      <w:bookmarkEnd w:id="1175"/>
      <w:bookmarkEnd w:id="1176"/>
      <w:bookmarkEnd w:id="1177"/>
    </w:p>
    <w:p w14:paraId="084FCC5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8" w:name="_Toc234833180"/>
      <w:bookmarkStart w:id="1179" w:name="_Toc25196"/>
      <w:bookmarkStart w:id="1180" w:name="_Toc5311"/>
      <w:bookmarkStart w:id="1181" w:name="_Toc8218"/>
      <w:r>
        <w:rPr>
          <w:rFonts w:hint="default" w:ascii="Times New Roman" w:hAnsi="Times New Roman" w:eastAsia="黑体" w:cs="Times New Roman"/>
          <w:b w:val="0"/>
          <w:sz w:val="24"/>
          <w:szCs w:val="24"/>
          <w:highlight w:val="none"/>
        </w:rPr>
        <w:t>15.1 变更的范围和内容</w:t>
      </w:r>
      <w:bookmarkEnd w:id="1178"/>
      <w:bookmarkEnd w:id="1179"/>
      <w:bookmarkEnd w:id="1180"/>
      <w:bookmarkEnd w:id="1181"/>
    </w:p>
    <w:p w14:paraId="1F220A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本款第（1）项细化为：</w:t>
      </w:r>
    </w:p>
    <w:p w14:paraId="6FBCA8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（1）取消合同中任何一项工作，但被取消的工作不能转由发包人或其他人实施，由于承包人违约造成的情况除外；</w:t>
      </w:r>
    </w:p>
    <w:p w14:paraId="63257F1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82" w:name="_Toc15909"/>
      <w:bookmarkStart w:id="1183" w:name="_Toc11045"/>
      <w:bookmarkStart w:id="1184" w:name="_Toc13796"/>
      <w:bookmarkStart w:id="1185" w:name="_Toc234833181"/>
      <w:r>
        <w:rPr>
          <w:rFonts w:hint="default" w:ascii="Times New Roman" w:hAnsi="Times New Roman" w:eastAsia="黑体" w:cs="Times New Roman"/>
          <w:b w:val="0"/>
          <w:sz w:val="24"/>
          <w:szCs w:val="24"/>
          <w:highlight w:val="none"/>
        </w:rPr>
        <w:t>15.3 变更程序</w:t>
      </w:r>
      <w:bookmarkEnd w:id="1182"/>
      <w:bookmarkEnd w:id="1183"/>
      <w:bookmarkEnd w:id="1184"/>
      <w:bookmarkEnd w:id="1185"/>
    </w:p>
    <w:p w14:paraId="379AFE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本款补充第15.3.4项：</w:t>
      </w:r>
    </w:p>
    <w:p w14:paraId="773C7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15.3.4 设计变更程序应执行《公路工程设计变更管理办法》的相关规定。</w:t>
      </w:r>
    </w:p>
    <w:p w14:paraId="05832AB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86" w:name="_Toc10432"/>
      <w:bookmarkStart w:id="1187" w:name="_Toc31295"/>
      <w:bookmarkStart w:id="1188" w:name="_Toc234833182"/>
      <w:bookmarkStart w:id="1189" w:name="_Toc7999"/>
      <w:r>
        <w:rPr>
          <w:rFonts w:hint="default" w:ascii="Times New Roman" w:hAnsi="Times New Roman" w:eastAsia="黑体" w:cs="Times New Roman"/>
          <w:b w:val="0"/>
          <w:sz w:val="24"/>
          <w:szCs w:val="24"/>
          <w:highlight w:val="none"/>
        </w:rPr>
        <w:t>15.4 变更的估价原则</w:t>
      </w:r>
      <w:bookmarkEnd w:id="1186"/>
      <w:bookmarkEnd w:id="1187"/>
      <w:bookmarkEnd w:id="1188"/>
      <w:bookmarkEnd w:id="1189"/>
      <w:r>
        <w:rPr>
          <w:rFonts w:hint="default" w:ascii="Times New Roman" w:hAnsi="Times New Roman" w:eastAsia="黑体" w:cs="Times New Roman"/>
          <w:b w:val="0"/>
          <w:sz w:val="24"/>
          <w:szCs w:val="24"/>
          <w:highlight w:val="none"/>
        </w:rPr>
        <w:t xml:space="preserve"> </w:t>
      </w:r>
    </w:p>
    <w:p w14:paraId="44C399A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2AE3C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除项目专用合同条款另有约定外，因变更引起的价格调整按照本款约定处理。</w:t>
      </w:r>
    </w:p>
    <w:p w14:paraId="7D5782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如果取消某项工作，则该项工作的总额价不予支付。</w:t>
      </w:r>
    </w:p>
    <w:p w14:paraId="52A126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已标价工程量清单中有适用于变更工作的子目的，采用该子目的单价。</w:t>
      </w:r>
    </w:p>
    <w:p w14:paraId="0F45BE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已标价工程量清单中无适用于变更工作的子目，但有类似子目的，可在合理范围内参照类似子目的单价，由监理人按第3.5款商定或确定变更工作的单价。</w:t>
      </w:r>
    </w:p>
    <w:p w14:paraId="5FCD7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15.4.4 已标价工程量清单中无适用或类似子目的单价，可在综合考虑承包人在投标时所提供的单价分析表的基础上，由监理人按第3.5款商定或确定变更工作的单价。</w:t>
      </w:r>
    </w:p>
    <w:p w14:paraId="2F71DE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15.4.5 如果本工程的变更指示是因承包人过错、承包人违反合同或承包人责任造成的，则这种违约引起的任何额外费用应由承包人承担。</w:t>
      </w:r>
    </w:p>
    <w:p w14:paraId="7FA18C1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0" w:name="_Toc11214"/>
      <w:bookmarkStart w:id="1191" w:name="_Toc31098"/>
      <w:bookmarkStart w:id="1192" w:name="_Toc15158"/>
      <w:bookmarkStart w:id="1193" w:name="_Toc234833183"/>
      <w:r>
        <w:rPr>
          <w:rFonts w:hint="default" w:ascii="Times New Roman" w:hAnsi="Times New Roman" w:eastAsia="黑体" w:cs="Times New Roman"/>
          <w:b w:val="0"/>
          <w:sz w:val="24"/>
          <w:szCs w:val="24"/>
          <w:highlight w:val="none"/>
        </w:rPr>
        <w:t>15.5 承包人的合理化建议</w:t>
      </w:r>
      <w:bookmarkEnd w:id="1190"/>
      <w:bookmarkEnd w:id="1191"/>
      <w:bookmarkEnd w:id="1192"/>
      <w:bookmarkEnd w:id="1193"/>
    </w:p>
    <w:p w14:paraId="12BFAE5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第15.5.2项约定为：</w:t>
      </w:r>
    </w:p>
    <w:p w14:paraId="663641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承包人提出的合理化建议缩短了工期，发包人按第11.6款的规定给予奖励。</w:t>
      </w:r>
    </w:p>
    <w:p w14:paraId="39B3918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承包人提出的合理化建议降低了合同价格或者提高了工程经济效益的，发包人按项目专用合同条款数据表中规定的金额给予奖励。</w:t>
      </w:r>
    </w:p>
    <w:p w14:paraId="078BA9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4" w:name="_Toc5804"/>
      <w:bookmarkStart w:id="1195" w:name="_Toc10877"/>
      <w:bookmarkStart w:id="1196" w:name="_Toc18139"/>
      <w:bookmarkStart w:id="1197" w:name="_Toc234833184"/>
      <w:r>
        <w:rPr>
          <w:rFonts w:hint="default" w:ascii="Times New Roman" w:hAnsi="Times New Roman" w:eastAsia="黑体" w:cs="Times New Roman"/>
          <w:b w:val="0"/>
          <w:sz w:val="24"/>
          <w:szCs w:val="24"/>
          <w:highlight w:val="none"/>
        </w:rPr>
        <w:t>15.6暂列金额</w:t>
      </w:r>
      <w:bookmarkEnd w:id="1194"/>
      <w:bookmarkEnd w:id="1195"/>
      <w:bookmarkEnd w:id="1196"/>
      <w:bookmarkEnd w:id="1197"/>
    </w:p>
    <w:p w14:paraId="31141F6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629B0F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15.6.1 暂列金额应由监理人报发包人批准后指令全部或部分地使用，或者根本不予动用。</w:t>
      </w:r>
    </w:p>
    <w:p w14:paraId="404A261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DD8B81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15.6.3 当监理人提出要求时，承包人应提供有关暂列金额支出的所有报价单、发票、凭证和账单或收据，除非该工作是根据已标价工程量清单列明的单价或总额价进行的估价。</w:t>
      </w:r>
    </w:p>
    <w:p w14:paraId="00ABDC5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98" w:name="_Toc3192"/>
      <w:bookmarkStart w:id="1199" w:name="_Toc4074"/>
      <w:bookmarkStart w:id="1200" w:name="_Toc234833185"/>
      <w:bookmarkStart w:id="1201" w:name="_Toc25734"/>
      <w:r>
        <w:rPr>
          <w:rFonts w:hint="default" w:ascii="Times New Roman" w:hAnsi="Times New Roman" w:eastAsia="黑体" w:cs="Times New Roman"/>
          <w:b w:val="0"/>
          <w:sz w:val="28"/>
          <w:szCs w:val="28"/>
          <w:highlight w:val="none"/>
        </w:rPr>
        <w:t>16. 价格调整</w:t>
      </w:r>
      <w:bookmarkEnd w:id="1198"/>
      <w:bookmarkEnd w:id="1199"/>
      <w:bookmarkEnd w:id="1200"/>
      <w:bookmarkEnd w:id="1201"/>
    </w:p>
    <w:p w14:paraId="636E4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02" w:name="_Toc29760"/>
      <w:bookmarkStart w:id="1203" w:name="_Toc234833186"/>
      <w:bookmarkStart w:id="1204" w:name="_Toc11540"/>
      <w:bookmarkStart w:id="1205" w:name="_Toc925"/>
      <w:r>
        <w:rPr>
          <w:rFonts w:hint="default" w:ascii="Times New Roman" w:hAnsi="Times New Roman" w:eastAsia="黑体" w:cs="Times New Roman"/>
          <w:b w:val="0"/>
          <w:sz w:val="24"/>
          <w:szCs w:val="24"/>
          <w:highlight w:val="none"/>
        </w:rPr>
        <w:t>16.1 物价波动引起的价格调整</w:t>
      </w:r>
      <w:bookmarkEnd w:id="1202"/>
      <w:bookmarkEnd w:id="1203"/>
      <w:bookmarkEnd w:id="1204"/>
      <w:bookmarkEnd w:id="1205"/>
    </w:p>
    <w:p w14:paraId="519B46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5CF4F8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（1）除项目专用合同条款另有约定外，因物价波动引起的价格调整应按项目专用合同条款数据表的规定，按照第16.1.1项或第16.1.2项约定的原则处理；或者</w:t>
      </w:r>
    </w:p>
    <w:p w14:paraId="1015CB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（2）在合同执行期间（包括工期拖延期间）由于人工、材料和设备价格的上涨而引起工程施工成本增加的风险由承包人自行承担，合同价格不会因此而调整。</w:t>
      </w:r>
    </w:p>
    <w:p w14:paraId="3F2B76F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8FF05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16.1.1.1 价格调整公式</w:t>
      </w:r>
    </w:p>
    <w:p w14:paraId="2C994F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价格调整公式后增加备注如下：</w:t>
      </w:r>
    </w:p>
    <w:p w14:paraId="4CAF3AFD">
      <w:pPr>
        <w:pageBreakBefore w:val="0"/>
        <w:kinsoku/>
        <w:wordWrap w:val="0"/>
        <w:bidi w:val="0"/>
        <w:spacing w:line="400" w:lineRule="atLeast"/>
        <w:ind w:firstLine="746" w:firstLineChars="311"/>
        <w:rPr>
          <w:rFonts w:hint="default" w:ascii="Times New Roman" w:hAnsi="Times New Roman" w:cs="Times New Roman"/>
          <w:sz w:val="24"/>
          <w:highlight w:val="none"/>
        </w:rPr>
      </w:pPr>
      <w:r>
        <w:rPr>
          <w:rFonts w:hint="default" w:ascii="Times New Roman" w:hAnsi="Times New Roman" w:cs="Times New Roman"/>
          <w:bCs/>
          <w:sz w:val="24"/>
          <w:highlight w:val="none"/>
        </w:rPr>
        <w:t>式中，</w:t>
      </w:r>
      <w:r>
        <w:rPr>
          <w:rFonts w:hint="default" w:ascii="Times New Roman" w:hAnsi="Times New Roman" w:cs="Times New Roman"/>
          <w:b/>
          <w:bCs/>
          <w:sz w:val="24"/>
          <w:highlight w:val="none"/>
        </w:rPr>
        <w:t>A=1－（B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rPr>
        <w:t>＋</w:t>
      </w:r>
      <w:r>
        <w:rPr>
          <w:rFonts w:hint="default" w:ascii="Times New Roman" w:hAnsi="Times New Roman" w:cs="Times New Roman"/>
          <w:b/>
          <w:bCs/>
          <w:sz w:val="24"/>
          <w:highlight w:val="none"/>
          <w:vertAlign w:val="subscript"/>
        </w:rPr>
        <w:t>……</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n</w:t>
      </w:r>
      <w:r>
        <w:rPr>
          <w:rFonts w:hint="default" w:ascii="Times New Roman" w:hAnsi="Times New Roman" w:cs="Times New Roman"/>
          <w:b/>
          <w:bCs/>
          <w:sz w:val="24"/>
          <w:highlight w:val="none"/>
        </w:rPr>
        <w:t>）</w:t>
      </w:r>
      <w:r>
        <w:rPr>
          <w:rFonts w:hint="default" w:ascii="Times New Roman" w:hAnsi="Times New Roman" w:cs="Times New Roman"/>
          <w:sz w:val="24"/>
          <w:highlight w:val="none"/>
        </w:rPr>
        <w:t>。</w:t>
      </w:r>
    </w:p>
    <w:p w14:paraId="51B3CD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本目最后一段文字细化为：</w:t>
      </w:r>
    </w:p>
    <w:p w14:paraId="4173F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在采用价格调整公式进行调价时，还应遵守以下规定：</w:t>
      </w:r>
    </w:p>
    <w:p w14:paraId="4304F5D0">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A4C15D1">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ECD8E8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06" w:name="_Toc18133"/>
      <w:bookmarkStart w:id="1207" w:name="_Toc12404"/>
      <w:bookmarkStart w:id="1208" w:name="_Toc15932"/>
      <w:bookmarkStart w:id="1209" w:name="_Toc234833187"/>
      <w:r>
        <w:rPr>
          <w:rFonts w:hint="default" w:ascii="Times New Roman" w:hAnsi="Times New Roman" w:eastAsia="黑体" w:cs="Times New Roman"/>
          <w:b w:val="0"/>
          <w:sz w:val="28"/>
          <w:szCs w:val="28"/>
          <w:highlight w:val="none"/>
        </w:rPr>
        <w:t>17. 计量与支付</w:t>
      </w:r>
      <w:bookmarkEnd w:id="1206"/>
      <w:bookmarkEnd w:id="1207"/>
      <w:bookmarkEnd w:id="1208"/>
      <w:bookmarkEnd w:id="1209"/>
    </w:p>
    <w:p w14:paraId="4070B14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0" w:name="_Toc22272"/>
      <w:bookmarkStart w:id="1211" w:name="_Toc1465"/>
      <w:bookmarkStart w:id="1212" w:name="_Toc234833188"/>
      <w:bookmarkStart w:id="1213" w:name="_Toc30341"/>
      <w:r>
        <w:rPr>
          <w:rFonts w:hint="default" w:ascii="Times New Roman" w:hAnsi="Times New Roman" w:eastAsia="黑体" w:cs="Times New Roman"/>
          <w:b w:val="0"/>
          <w:sz w:val="24"/>
          <w:szCs w:val="24"/>
          <w:highlight w:val="none"/>
        </w:rPr>
        <w:t>17.1 计量</w:t>
      </w:r>
      <w:bookmarkEnd w:id="1210"/>
      <w:bookmarkEnd w:id="1211"/>
      <w:bookmarkEnd w:id="1212"/>
      <w:bookmarkEnd w:id="1213"/>
      <w:r>
        <w:rPr>
          <w:rFonts w:hint="default" w:ascii="Times New Roman" w:hAnsi="Times New Roman" w:eastAsia="黑体" w:cs="Times New Roman"/>
          <w:b w:val="0"/>
          <w:sz w:val="24"/>
          <w:szCs w:val="24"/>
          <w:highlight w:val="none"/>
        </w:rPr>
        <w:t xml:space="preserve"> </w:t>
      </w:r>
    </w:p>
    <w:p w14:paraId="1BC00B8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02FD24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0EF52F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工程的计量应以净值为准，除非项目专用合同条款另有约定。工程量清单中各个子目的具体计量方法按本合同文件工程量清单计量规则中的规定执行。</w:t>
      </w:r>
    </w:p>
    <w:p w14:paraId="54B5CC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58C30A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426CA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（7）承包人未在已标价工程量清单中填入单价或总额价的工程子目，将被认为其已包含在本合同的其他子目的单价和总额价中，发包人将不另行支付。</w:t>
      </w:r>
    </w:p>
    <w:p w14:paraId="52CB94E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3548BA1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本项补充：</w:t>
      </w:r>
    </w:p>
    <w:p w14:paraId="297B40A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本项目工程量清单中要求承包人以</w:t>
      </w:r>
      <w:r>
        <w:rPr>
          <w:rFonts w:hint="eastAsia" w:ascii="宋体" w:hAnsi="宋体" w:eastAsia="宋体" w:cs="宋体"/>
          <w:sz w:val="24"/>
          <w:highlight w:val="none"/>
        </w:rPr>
        <w:t>“</w:t>
      </w:r>
      <w:r>
        <w:rPr>
          <w:rFonts w:hint="default" w:ascii="Times New Roman" w:hAnsi="Times New Roman" w:cs="Times New Roman"/>
          <w:sz w:val="24"/>
          <w:highlight w:val="none"/>
        </w:rPr>
        <w:t>总额</w:t>
      </w:r>
      <w:r>
        <w:rPr>
          <w:rFonts w:hint="eastAsia" w:ascii="宋体" w:hAnsi="宋体" w:eastAsia="宋体" w:cs="宋体"/>
          <w:sz w:val="24"/>
          <w:highlight w:val="none"/>
        </w:rPr>
        <w:t>”</w:t>
      </w:r>
      <w:r>
        <w:rPr>
          <w:rFonts w:hint="default" w:ascii="Times New Roman" w:hAnsi="Times New Roman" w:cs="Times New Roman"/>
          <w:sz w:val="24"/>
          <w:highlight w:val="none"/>
        </w:rPr>
        <w:t>方式报价的子目，各子目的支付原则和支付进度按项目专用合同条款的规定执行。</w:t>
      </w:r>
    </w:p>
    <w:p w14:paraId="559772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4" w:name="_Toc234833189"/>
      <w:bookmarkStart w:id="1215" w:name="_Toc15810"/>
      <w:bookmarkStart w:id="1216" w:name="_Toc24482"/>
      <w:bookmarkStart w:id="1217" w:name="_Toc23977"/>
      <w:r>
        <w:rPr>
          <w:rFonts w:hint="default" w:ascii="Times New Roman" w:hAnsi="Times New Roman" w:eastAsia="黑体" w:cs="Times New Roman"/>
          <w:b w:val="0"/>
          <w:sz w:val="24"/>
          <w:szCs w:val="24"/>
          <w:highlight w:val="none"/>
        </w:rPr>
        <w:t>17.2 预付款</w:t>
      </w:r>
      <w:bookmarkEnd w:id="1214"/>
      <w:bookmarkEnd w:id="1215"/>
      <w:bookmarkEnd w:id="1216"/>
      <w:bookmarkEnd w:id="1217"/>
    </w:p>
    <w:p w14:paraId="35F27F3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7017C9F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575B8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预付款包括开工预付款和材料、设备预付款。具体额度和预付办法如下：</w:t>
      </w:r>
    </w:p>
    <w:p w14:paraId="22423B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1A1458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33145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55306A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材料、设备符合规范要求并经监理人认可；</w:t>
      </w:r>
    </w:p>
    <w:p w14:paraId="4AB76F1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承包人已出具材料、设备费用凭证或支付单据；</w:t>
      </w:r>
    </w:p>
    <w:p w14:paraId="35840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材料、设备已在现场交货，且存储良好，监理人认为材料、设备的存储方法符合要求。</w:t>
      </w:r>
    </w:p>
    <w:p w14:paraId="74A638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则监理人应将此项金额作为材料、设备预付款计入下一次的进度付款证书中。在预计交工前3个月，将不再支付材料、设备预付款。</w:t>
      </w:r>
    </w:p>
    <w:p w14:paraId="340280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22D726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3676E02E">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承包人无须向发包人提交预付款保函。发包人向承包人支付的预付款，应按照本合同第17.2.1项规定使用，承包人提交的履约保证金对预付款的正常使用承担保证责任。</w:t>
      </w:r>
    </w:p>
    <w:p w14:paraId="585A2671">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11440069">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2EC3E28F">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0C6D9C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（2）当材料、设备已用于或安装在永久工程之中时，材料、设备预付款应从进度付款证书中扣回，扣回期不超过3个月。已经支付材料、设备预付款的材料、设备的所有权应属于发包人。</w:t>
      </w:r>
    </w:p>
    <w:p w14:paraId="761A54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8" w:name="_Toc7868"/>
      <w:bookmarkStart w:id="1219" w:name="_Toc30179"/>
      <w:bookmarkStart w:id="1220" w:name="_Toc234833190"/>
      <w:bookmarkStart w:id="1221" w:name="_Toc24114"/>
      <w:r>
        <w:rPr>
          <w:rFonts w:hint="default" w:ascii="Times New Roman" w:hAnsi="Times New Roman" w:eastAsia="黑体" w:cs="Times New Roman"/>
          <w:b w:val="0"/>
          <w:sz w:val="24"/>
          <w:szCs w:val="24"/>
          <w:highlight w:val="none"/>
        </w:rPr>
        <w:t>17.3 工程进度付款</w:t>
      </w:r>
      <w:bookmarkEnd w:id="1218"/>
      <w:bookmarkEnd w:id="1219"/>
      <w:bookmarkEnd w:id="1220"/>
      <w:bookmarkEnd w:id="1221"/>
    </w:p>
    <w:p w14:paraId="47C488C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7F5B70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本项（1）目补充：</w:t>
      </w:r>
    </w:p>
    <w:p w14:paraId="3DF95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027424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4BA33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发包人应在监理人收到进度付款申请单且承包人提交了合格的增值税专用发票后的28天内，将进度应付款支付给承包人。</w:t>
      </w:r>
    </w:p>
    <w:p w14:paraId="238E0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38D072F4">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本款补充第17.3.5项：</w:t>
      </w:r>
    </w:p>
    <w:p w14:paraId="379C9A44">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17.3.5 </w:t>
      </w:r>
      <w:r>
        <w:rPr>
          <w:rFonts w:hint="default" w:ascii="Times New Roman" w:hAnsi="Times New Roman" w:eastAsia="黑体" w:cs="Times New Roman"/>
          <w:sz w:val="24"/>
          <w:highlight w:val="none"/>
        </w:rPr>
        <w:t>农民工工资保证金</w:t>
      </w:r>
    </w:p>
    <w:p w14:paraId="443C09AA">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（1）为确保施工过程中农民工工资实时、足额发放到位，承包人应按照项目专用合同条款约定的时间和金额缴存农民工工资保证金。</w:t>
      </w:r>
    </w:p>
    <w:p w14:paraId="35AC194D">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（2）农民工工资保证金可采用银行保函或现金、支票形式。采用银行保函时，出具保函的银行须具有相应担保能力，且按照发包人批准的格式出具，所需费用由承包人承担。</w:t>
      </w:r>
    </w:p>
    <w:p w14:paraId="3E74B81E">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（3）农民工工资保证金的扣留条件、返还时间按照项目专用合同条款的约定执行。</w:t>
      </w:r>
    </w:p>
    <w:p w14:paraId="7BA2CA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22" w:name="_Toc4893"/>
      <w:bookmarkStart w:id="1223" w:name="_Toc234833191"/>
      <w:bookmarkStart w:id="1224" w:name="_Toc8483"/>
      <w:bookmarkStart w:id="1225" w:name="_Toc29571"/>
      <w:r>
        <w:rPr>
          <w:rFonts w:hint="default" w:ascii="Times New Roman" w:hAnsi="Times New Roman" w:eastAsia="黑体" w:cs="Times New Roman"/>
          <w:b w:val="0"/>
          <w:sz w:val="24"/>
          <w:szCs w:val="24"/>
          <w:highlight w:val="none"/>
        </w:rPr>
        <w:t>17.4 质量保证金</w:t>
      </w:r>
      <w:bookmarkEnd w:id="1222"/>
      <w:bookmarkEnd w:id="1223"/>
      <w:bookmarkEnd w:id="1224"/>
      <w:bookmarkEnd w:id="1225"/>
    </w:p>
    <w:p w14:paraId="167FCC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第17.4.1项、第17.4.2项细化为：</w:t>
      </w:r>
    </w:p>
    <w:p w14:paraId="7F318C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B69530D">
      <w:pPr>
        <w:pageBreakBefore w:val="0"/>
        <w:kinsoku/>
        <w:wordWrap w:val="0"/>
        <w:bidi w:val="0"/>
        <w:spacing w:line="400" w:lineRule="atLeast"/>
        <w:ind w:firstLine="480" w:firstLineChars="200"/>
        <w:rPr>
          <w:rFonts w:hint="default" w:ascii="Times New Roman" w:hAnsi="Times New Roman" w:eastAsia="宋体 ，Arial" w:cs="Times New Roman"/>
          <w:kern w:val="0"/>
          <w:sz w:val="24"/>
          <w:highlight w:val="none"/>
        </w:rPr>
      </w:pPr>
      <w:r>
        <w:rPr>
          <w:rFonts w:hint="default" w:ascii="Times New Roman" w:hAnsi="Times New Roman" w:cs="Times New Roman"/>
          <w:sz w:val="24"/>
          <w:highlight w:val="none"/>
        </w:rPr>
        <w:t>质量保证金采用现金、支票形式提交的，发包人应在项目专用合同条款数据表中明确是否</w:t>
      </w:r>
      <w:r>
        <w:rPr>
          <w:rFonts w:hint="default" w:ascii="Times New Roman" w:hAnsi="Times New Roman" w:eastAsia="宋体 ，Arial" w:cs="Times New Roman"/>
          <w:kern w:val="0"/>
          <w:sz w:val="24"/>
          <w:highlight w:val="none"/>
        </w:rPr>
        <w:t>计付利息以及利息的计算方式。</w:t>
      </w:r>
    </w:p>
    <w:p w14:paraId="1B8159E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64DC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26" w:name="_Toc1771"/>
      <w:bookmarkStart w:id="1227" w:name="_Toc1942"/>
      <w:bookmarkStart w:id="1228" w:name="_Toc234833192"/>
      <w:bookmarkStart w:id="1229" w:name="_Toc10303"/>
      <w:r>
        <w:rPr>
          <w:rFonts w:hint="default" w:ascii="Times New Roman" w:hAnsi="Times New Roman" w:eastAsia="黑体" w:cs="Times New Roman"/>
          <w:b w:val="0"/>
          <w:sz w:val="24"/>
          <w:szCs w:val="24"/>
          <w:highlight w:val="none"/>
        </w:rPr>
        <w:t>17.5 交工结算</w:t>
      </w:r>
      <w:bookmarkEnd w:id="1226"/>
      <w:bookmarkEnd w:id="1227"/>
      <w:bookmarkEnd w:id="1228"/>
      <w:bookmarkEnd w:id="1229"/>
    </w:p>
    <w:p w14:paraId="16B4360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交工付款申请单</w:t>
      </w:r>
    </w:p>
    <w:p w14:paraId="0D9D2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90BFC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承包人向监理人提交交工付款申请单（包括相关证明材料）的份数在项目专用合同条款数据表中约定；期限：交工验收证书签发后42天内。</w:t>
      </w:r>
    </w:p>
    <w:p w14:paraId="534B912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交工付款证书及支付时间</w:t>
      </w:r>
    </w:p>
    <w:p w14:paraId="60F5054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本项（2）目细化为：</w:t>
      </w:r>
    </w:p>
    <w:p w14:paraId="2D2ECF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10E2D62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0" w:name="_Toc234833193"/>
      <w:bookmarkStart w:id="1231" w:name="_Toc19025"/>
      <w:bookmarkStart w:id="1232" w:name="_Toc11950"/>
      <w:bookmarkStart w:id="1233" w:name="_Toc16291"/>
      <w:r>
        <w:rPr>
          <w:rFonts w:hint="default" w:ascii="Times New Roman" w:hAnsi="Times New Roman" w:eastAsia="黑体" w:cs="Times New Roman"/>
          <w:b w:val="0"/>
          <w:sz w:val="24"/>
          <w:szCs w:val="24"/>
          <w:highlight w:val="none"/>
        </w:rPr>
        <w:t>17.6 最终结清</w:t>
      </w:r>
      <w:bookmarkEnd w:id="1230"/>
      <w:bookmarkEnd w:id="1231"/>
      <w:bookmarkEnd w:id="1232"/>
      <w:bookmarkEnd w:id="1233"/>
    </w:p>
    <w:p w14:paraId="6421589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48B679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487B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承包人向监理人提交最终结清申请单（包括相关证明材料）的份数在项目专用合同条款数据表中约定；期限：缺陷责任期终止证书签发后28天内。</w:t>
      </w:r>
    </w:p>
    <w:p w14:paraId="12E171C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最终结清申请单中的总金额应认为是代表了根据合同规定应付给承包人的全部款项的最后结算。</w:t>
      </w:r>
    </w:p>
    <w:p w14:paraId="50DE826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550F2A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0B3F7A4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66D127E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34" w:name="_Toc24563"/>
      <w:bookmarkStart w:id="1235" w:name="_Toc11323"/>
      <w:bookmarkStart w:id="1236" w:name="_Toc12621"/>
      <w:bookmarkStart w:id="1237" w:name="_Toc234833194"/>
      <w:r>
        <w:rPr>
          <w:rFonts w:hint="default" w:ascii="Times New Roman" w:hAnsi="Times New Roman" w:eastAsia="黑体" w:cs="Times New Roman"/>
          <w:b w:val="0"/>
          <w:sz w:val="28"/>
          <w:szCs w:val="28"/>
          <w:highlight w:val="none"/>
        </w:rPr>
        <w:t>18. 交工验收</w:t>
      </w:r>
      <w:bookmarkEnd w:id="1234"/>
      <w:bookmarkEnd w:id="1235"/>
      <w:bookmarkEnd w:id="1236"/>
      <w:bookmarkEnd w:id="1237"/>
    </w:p>
    <w:p w14:paraId="3933B0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8" w:name="_Toc29033"/>
      <w:bookmarkStart w:id="1239" w:name="_Toc234833195"/>
      <w:bookmarkStart w:id="1240" w:name="_Toc25433"/>
      <w:bookmarkStart w:id="1241" w:name="_Toc13694"/>
      <w:r>
        <w:rPr>
          <w:rFonts w:hint="default" w:ascii="Times New Roman" w:hAnsi="Times New Roman" w:eastAsia="黑体" w:cs="Times New Roman"/>
          <w:b w:val="0"/>
          <w:sz w:val="24"/>
          <w:szCs w:val="24"/>
          <w:highlight w:val="none"/>
        </w:rPr>
        <w:t>18.2 交工验收申请报告</w:t>
      </w:r>
      <w:bookmarkEnd w:id="1238"/>
      <w:bookmarkEnd w:id="1239"/>
      <w:bookmarkEnd w:id="1240"/>
      <w:bookmarkEnd w:id="1241"/>
    </w:p>
    <w:p w14:paraId="656FA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本款第（2）项约定为：</w:t>
      </w:r>
    </w:p>
    <w:p w14:paraId="7C718E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竣工资料的内容：承包人应按照《公路工程竣（交）工验收办法》和相关规定编制竣工资料。</w:t>
      </w:r>
    </w:p>
    <w:p w14:paraId="696A1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竣工资料的份数在项目专用合同条款数据表中约定。</w:t>
      </w:r>
    </w:p>
    <w:p w14:paraId="2170152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2" w:name="_Toc4025"/>
      <w:bookmarkStart w:id="1243" w:name="_Toc18368"/>
      <w:bookmarkStart w:id="1244" w:name="_Toc234833196"/>
      <w:bookmarkStart w:id="1245" w:name="_Toc2589"/>
      <w:r>
        <w:rPr>
          <w:rFonts w:hint="default" w:ascii="Times New Roman" w:hAnsi="Times New Roman" w:eastAsia="黑体" w:cs="Times New Roman"/>
          <w:b w:val="0"/>
          <w:sz w:val="24"/>
          <w:szCs w:val="24"/>
          <w:highlight w:val="none"/>
        </w:rPr>
        <w:t>18.3 验收</w:t>
      </w:r>
      <w:bookmarkEnd w:id="1242"/>
      <w:bookmarkEnd w:id="1243"/>
      <w:bookmarkEnd w:id="1244"/>
      <w:bookmarkEnd w:id="1245"/>
    </w:p>
    <w:p w14:paraId="0CBF87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第18.3.2项补充：</w:t>
      </w:r>
    </w:p>
    <w:p w14:paraId="12D951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FFDD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第18.3.5项约定为：</w:t>
      </w:r>
    </w:p>
    <w:p w14:paraId="3CDA08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经验收合格工程的实际交工日期，以最终提交交工验收申请报告的日期为准，并在交工验收证书中写明。</w:t>
      </w:r>
    </w:p>
    <w:p w14:paraId="469E35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本款补充第18.3.7项：</w:t>
      </w:r>
    </w:p>
    <w:p w14:paraId="768326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组织办理交工验收和签发交工验收证书的费用由发包人承担。但按照第18.3.4项规定达不到合格标准的交工验收费用由承包人承担。</w:t>
      </w:r>
    </w:p>
    <w:p w14:paraId="4DB31710">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本条补充第18.9款：</w:t>
      </w:r>
    </w:p>
    <w:p w14:paraId="448FB76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6" w:name="_Toc15355"/>
      <w:bookmarkStart w:id="1247" w:name="_Toc234833197"/>
      <w:bookmarkStart w:id="1248" w:name="_Toc21991"/>
      <w:bookmarkStart w:id="1249" w:name="_Toc25110"/>
      <w:r>
        <w:rPr>
          <w:rFonts w:hint="default" w:ascii="Times New Roman" w:hAnsi="Times New Roman" w:eastAsia="黑体" w:cs="Times New Roman"/>
          <w:b w:val="0"/>
          <w:sz w:val="24"/>
          <w:szCs w:val="24"/>
          <w:highlight w:val="none"/>
        </w:rPr>
        <w:t>18.9 竣工文件</w:t>
      </w:r>
      <w:bookmarkEnd w:id="1246"/>
      <w:bookmarkEnd w:id="1247"/>
      <w:bookmarkEnd w:id="1248"/>
      <w:bookmarkEnd w:id="1249"/>
    </w:p>
    <w:p w14:paraId="65ECD8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承包人应按照《公路工程竣（交）工验收办法》的相关规定，在缺陷责任期内为竣工验收补充竣工资料，并在签发缺陷责任期终止证书之前提交。</w:t>
      </w:r>
    </w:p>
    <w:p w14:paraId="61AE9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50" w:name="_Toc11360"/>
      <w:bookmarkStart w:id="1251" w:name="_Toc5229"/>
      <w:bookmarkStart w:id="1252" w:name="_Toc32487"/>
      <w:bookmarkStart w:id="1253" w:name="_Toc234833198"/>
      <w:r>
        <w:rPr>
          <w:rFonts w:hint="default" w:ascii="Times New Roman" w:hAnsi="Times New Roman" w:eastAsia="黑体" w:cs="Times New Roman"/>
          <w:b w:val="0"/>
          <w:sz w:val="28"/>
          <w:szCs w:val="28"/>
          <w:highlight w:val="none"/>
        </w:rPr>
        <w:t>19. 缺陷责任与保修责任</w:t>
      </w:r>
      <w:bookmarkEnd w:id="1250"/>
      <w:bookmarkEnd w:id="1251"/>
      <w:bookmarkEnd w:id="1252"/>
      <w:bookmarkEnd w:id="1253"/>
    </w:p>
    <w:p w14:paraId="5E935D2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4" w:name="_Toc2934"/>
      <w:bookmarkStart w:id="1255" w:name="_Toc13979"/>
      <w:bookmarkStart w:id="1256" w:name="_Toc28049"/>
      <w:bookmarkStart w:id="1257" w:name="_Toc234833199"/>
      <w:r>
        <w:rPr>
          <w:rFonts w:hint="default" w:ascii="Times New Roman" w:hAnsi="Times New Roman" w:eastAsia="黑体" w:cs="Times New Roman"/>
          <w:b w:val="0"/>
          <w:sz w:val="24"/>
          <w:szCs w:val="24"/>
          <w:highlight w:val="none"/>
        </w:rPr>
        <w:t>19.2 缺陷责任</w:t>
      </w:r>
      <w:bookmarkEnd w:id="1254"/>
      <w:bookmarkEnd w:id="1255"/>
      <w:bookmarkEnd w:id="1256"/>
      <w:bookmarkEnd w:id="1257"/>
    </w:p>
    <w:p w14:paraId="681ECE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第19.2.2项补充：</w:t>
      </w:r>
    </w:p>
    <w:p w14:paraId="718B3A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在缺陷责任期内，承包人应尽快完成在交工验收证书中写明的未完成工作，并完成对本工程缺陷的修复或监理人指令的修补工作。</w:t>
      </w:r>
    </w:p>
    <w:p w14:paraId="0AC520D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8" w:name="_Toc234833200"/>
      <w:bookmarkStart w:id="1259" w:name="_Toc17405"/>
      <w:bookmarkStart w:id="1260" w:name="_Toc2370"/>
      <w:bookmarkStart w:id="1261" w:name="_Toc17860"/>
      <w:r>
        <w:rPr>
          <w:rFonts w:hint="default" w:ascii="Times New Roman" w:hAnsi="Times New Roman" w:eastAsia="黑体" w:cs="Times New Roman"/>
          <w:b w:val="0"/>
          <w:sz w:val="24"/>
          <w:szCs w:val="24"/>
          <w:highlight w:val="none"/>
        </w:rPr>
        <w:t>19.5 承包人的进入权</w:t>
      </w:r>
      <w:bookmarkEnd w:id="1258"/>
      <w:bookmarkEnd w:id="1259"/>
      <w:bookmarkEnd w:id="1260"/>
      <w:bookmarkEnd w:id="1261"/>
      <w:r>
        <w:rPr>
          <w:rFonts w:hint="default" w:ascii="Times New Roman" w:hAnsi="Times New Roman" w:eastAsia="黑体" w:cs="Times New Roman"/>
          <w:b w:val="0"/>
          <w:sz w:val="24"/>
          <w:szCs w:val="24"/>
          <w:highlight w:val="none"/>
        </w:rPr>
        <w:t xml:space="preserve"> </w:t>
      </w:r>
    </w:p>
    <w:p w14:paraId="6BADF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074F6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承包人在缺陷修复施工过程中，应服从管养单位的有关安全管理规定，由于承包人自身原因造成的人员伤亡、设备和材料的损毁及罚款等责任由承包人自负。</w:t>
      </w:r>
    </w:p>
    <w:p w14:paraId="6022FAC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62" w:name="_Toc31522"/>
      <w:bookmarkStart w:id="1263" w:name="_Toc22662"/>
      <w:bookmarkStart w:id="1264" w:name="_Toc234833201"/>
      <w:bookmarkStart w:id="1265" w:name="_Toc13835"/>
      <w:r>
        <w:rPr>
          <w:rFonts w:hint="default" w:ascii="Times New Roman" w:hAnsi="Times New Roman" w:eastAsia="黑体" w:cs="Times New Roman"/>
          <w:b w:val="0"/>
          <w:sz w:val="24"/>
          <w:szCs w:val="24"/>
          <w:highlight w:val="none"/>
        </w:rPr>
        <w:t>19.7 保修责任</w:t>
      </w:r>
      <w:bookmarkEnd w:id="1262"/>
      <w:bookmarkEnd w:id="1263"/>
      <w:bookmarkEnd w:id="1264"/>
      <w:bookmarkEnd w:id="1265"/>
    </w:p>
    <w:p w14:paraId="3CE3D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188C943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8D60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（2）在全部工程交工验收前，已经发包人提前验收的单位工程，其保修期的起算日期相应提前。</w:t>
      </w:r>
    </w:p>
    <w:p w14:paraId="6154F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（3）工程保修期终止后28天内，监理人签发保修期终止证书。</w:t>
      </w:r>
    </w:p>
    <w:p w14:paraId="1F1C6F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726A61E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66" w:name="_Toc234833202"/>
      <w:bookmarkStart w:id="1267" w:name="_Toc22022"/>
      <w:bookmarkStart w:id="1268" w:name="_Toc23441"/>
      <w:bookmarkStart w:id="1269" w:name="_Toc8873"/>
      <w:r>
        <w:rPr>
          <w:rFonts w:hint="default" w:ascii="Times New Roman" w:hAnsi="Times New Roman" w:eastAsia="黑体" w:cs="Times New Roman"/>
          <w:b w:val="0"/>
          <w:sz w:val="28"/>
          <w:szCs w:val="28"/>
          <w:highlight w:val="none"/>
        </w:rPr>
        <w:t>20. 保险</w:t>
      </w:r>
      <w:bookmarkEnd w:id="1266"/>
      <w:bookmarkEnd w:id="1267"/>
      <w:bookmarkEnd w:id="1268"/>
      <w:bookmarkEnd w:id="1269"/>
    </w:p>
    <w:p w14:paraId="65BF7E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0" w:name="_Toc14288"/>
      <w:bookmarkStart w:id="1271" w:name="_Toc27757"/>
      <w:bookmarkStart w:id="1272" w:name="_Toc20820"/>
      <w:bookmarkStart w:id="1273" w:name="_Toc234833203"/>
      <w:r>
        <w:rPr>
          <w:rFonts w:hint="default" w:ascii="Times New Roman" w:hAnsi="Times New Roman" w:eastAsia="黑体" w:cs="Times New Roman"/>
          <w:b w:val="0"/>
          <w:sz w:val="24"/>
          <w:szCs w:val="24"/>
          <w:highlight w:val="none"/>
        </w:rPr>
        <w:t>20.1工程保险</w:t>
      </w:r>
      <w:bookmarkEnd w:id="1270"/>
      <w:bookmarkEnd w:id="1271"/>
      <w:bookmarkEnd w:id="1272"/>
      <w:bookmarkEnd w:id="1273"/>
    </w:p>
    <w:p w14:paraId="42304E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4174E8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建筑工程一切险的投保内容：为本合同工程的永久工程、临时工程和设备及已运至施工工地用于永久工程的材料和设备所投的保险。</w:t>
      </w:r>
    </w:p>
    <w:p w14:paraId="726663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保险金额：工程量清单第100章（不含建筑工程一切险及第三者责任险的保险费）至第700章的合计金额。</w:t>
      </w:r>
    </w:p>
    <w:p w14:paraId="3332A2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保险费率：在项目专用合同条款数据表中约定。</w:t>
      </w:r>
    </w:p>
    <w:p w14:paraId="18C91A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保险期限：开工日起直至本合同工程签发缺陷责任期终止证书止（即合同工期＋缺陷责任期）。</w:t>
      </w:r>
    </w:p>
    <w:p w14:paraId="24C98B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4E0DF16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4" w:name="_Toc6160"/>
      <w:bookmarkStart w:id="1275" w:name="_Toc2970"/>
      <w:bookmarkStart w:id="1276" w:name="_Toc234833204"/>
      <w:bookmarkStart w:id="1277" w:name="_Toc1174"/>
      <w:r>
        <w:rPr>
          <w:rFonts w:hint="default" w:ascii="Times New Roman" w:hAnsi="Times New Roman" w:eastAsia="黑体" w:cs="Times New Roman"/>
          <w:b w:val="0"/>
          <w:sz w:val="24"/>
          <w:szCs w:val="24"/>
          <w:highlight w:val="none"/>
        </w:rPr>
        <w:t>20.4 第三者责任险</w:t>
      </w:r>
      <w:bookmarkEnd w:id="1274"/>
      <w:bookmarkEnd w:id="1275"/>
      <w:bookmarkEnd w:id="1276"/>
      <w:bookmarkEnd w:id="1277"/>
    </w:p>
    <w:p w14:paraId="3CD3B7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第20.4.2项补充：</w:t>
      </w:r>
    </w:p>
    <w:p w14:paraId="6F741B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第三者责任险的保险费由承包人报价时列入工程量清单第100章内。发包人在接到保险单后，将按照保险单的费用直接向承包人支付。</w:t>
      </w:r>
    </w:p>
    <w:p w14:paraId="67DB1C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8" w:name="_Toc13808"/>
      <w:bookmarkStart w:id="1279" w:name="_Toc5754"/>
      <w:bookmarkStart w:id="1280" w:name="_Toc234833205"/>
      <w:bookmarkStart w:id="1281" w:name="_Toc29485"/>
      <w:r>
        <w:rPr>
          <w:rFonts w:hint="default" w:ascii="Times New Roman" w:hAnsi="Times New Roman" w:eastAsia="黑体" w:cs="Times New Roman"/>
          <w:b w:val="0"/>
          <w:sz w:val="24"/>
          <w:szCs w:val="24"/>
          <w:highlight w:val="none"/>
        </w:rPr>
        <w:t>20.5 其他保险</w:t>
      </w:r>
      <w:bookmarkEnd w:id="1278"/>
      <w:bookmarkEnd w:id="1279"/>
      <w:bookmarkEnd w:id="1280"/>
      <w:bookmarkEnd w:id="1281"/>
    </w:p>
    <w:p w14:paraId="385929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215EC40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承包人应为其施工设备等办理保险，其投保金额应足以现场重置。办理本款保险的一切费用均由承包人承担，并包括在工程量清单的单价及总额价中，发包人不单独支付。</w:t>
      </w:r>
    </w:p>
    <w:p w14:paraId="476A535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82" w:name="_Toc32143"/>
      <w:bookmarkStart w:id="1283" w:name="_Toc234833206"/>
      <w:bookmarkStart w:id="1284" w:name="_Toc19524"/>
      <w:bookmarkStart w:id="1285" w:name="_Toc1959"/>
      <w:r>
        <w:rPr>
          <w:rFonts w:hint="default" w:ascii="Times New Roman" w:hAnsi="Times New Roman" w:eastAsia="黑体" w:cs="Times New Roman"/>
          <w:b w:val="0"/>
          <w:sz w:val="24"/>
          <w:szCs w:val="24"/>
          <w:highlight w:val="none"/>
        </w:rPr>
        <w:t>20.6 对各项保险的一般要求</w:t>
      </w:r>
      <w:bookmarkEnd w:id="1282"/>
      <w:bookmarkEnd w:id="1283"/>
      <w:bookmarkEnd w:id="1284"/>
      <w:bookmarkEnd w:id="1285"/>
    </w:p>
    <w:p w14:paraId="7062388D">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20.6.1 保险凭证</w:t>
      </w:r>
    </w:p>
    <w:p w14:paraId="7A9DEB9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AAD77D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承包人向发包人提交各项保险生效的证据和保险单副本的期限：开工后56天内。</w:t>
      </w:r>
    </w:p>
    <w:p w14:paraId="25600536">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20.6.3 持续保险</w:t>
      </w:r>
    </w:p>
    <w:p w14:paraId="6E7872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23EC0E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在整个合同期内，承包人应按合同条款规定保证足够的保险额。</w:t>
      </w:r>
    </w:p>
    <w:p w14:paraId="08CC8C8A">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20.6.4 保险金不足的补偿</w:t>
      </w:r>
    </w:p>
    <w:p w14:paraId="1F505D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48383E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保险金不足以补偿损失的（包括免赔额和超过赔偿限额的部分），应由承包人和（或）发包人按合同约定负责补偿。</w:t>
      </w:r>
    </w:p>
    <w:p w14:paraId="1D1E68D2">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20.6.5 未按约定投保的补救</w:t>
      </w:r>
    </w:p>
    <w:p w14:paraId="2535A77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C46F0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7B70C2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86" w:name="_Toc10087"/>
      <w:bookmarkStart w:id="1287" w:name="_Toc23861"/>
      <w:bookmarkStart w:id="1288" w:name="_Toc7497"/>
      <w:bookmarkStart w:id="1289" w:name="_Toc234833207"/>
      <w:r>
        <w:rPr>
          <w:rFonts w:hint="default" w:ascii="Times New Roman" w:hAnsi="Times New Roman" w:eastAsia="黑体" w:cs="Times New Roman"/>
          <w:b w:val="0"/>
          <w:sz w:val="28"/>
          <w:szCs w:val="28"/>
          <w:highlight w:val="none"/>
        </w:rPr>
        <w:t>21. 不可抗力</w:t>
      </w:r>
      <w:bookmarkEnd w:id="1286"/>
      <w:bookmarkEnd w:id="1287"/>
      <w:bookmarkEnd w:id="1288"/>
      <w:bookmarkEnd w:id="1289"/>
    </w:p>
    <w:p w14:paraId="459C56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0" w:name="_Toc30052"/>
      <w:bookmarkStart w:id="1291" w:name="_Toc15082"/>
      <w:bookmarkStart w:id="1292" w:name="_Toc234833208"/>
      <w:bookmarkStart w:id="1293" w:name="_Toc1192"/>
      <w:r>
        <w:rPr>
          <w:rFonts w:hint="default" w:ascii="Times New Roman" w:hAnsi="Times New Roman" w:eastAsia="黑体" w:cs="Times New Roman"/>
          <w:b w:val="0"/>
          <w:sz w:val="24"/>
          <w:szCs w:val="24"/>
          <w:highlight w:val="none"/>
        </w:rPr>
        <w:t>21.1 不可抗力的确认</w:t>
      </w:r>
      <w:bookmarkEnd w:id="1290"/>
      <w:bookmarkEnd w:id="1291"/>
      <w:bookmarkEnd w:id="1292"/>
      <w:bookmarkEnd w:id="1293"/>
    </w:p>
    <w:p w14:paraId="0E3680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第21.1.1项细化为：</w:t>
      </w:r>
    </w:p>
    <w:p w14:paraId="1351E3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不可抗力是指承包人和发包人在订立合同时不可预见，在工程施工过程中不可避免发生并不能克服的自然灾害和社会性突发事件。包括但不限于：</w:t>
      </w:r>
    </w:p>
    <w:p w14:paraId="6642DE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（1）地震、海啸、火山爆发、泥石流、暴雨（雪）、台风、龙卷风、水灾等自然灾害；</w:t>
      </w:r>
    </w:p>
    <w:p w14:paraId="1FEA62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（2）战争、骚乱、暴动，但纯属承包人或其分包人派遣与雇用的人员由于本合同工程施工原因引起者除外；</w:t>
      </w:r>
    </w:p>
    <w:p w14:paraId="3909AB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（3）核反应、辐射或放射性污染；</w:t>
      </w:r>
    </w:p>
    <w:p w14:paraId="7C7998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（4）空中飞行物体坠落或非发包人或承包人责任造成的爆炸、火灾；</w:t>
      </w:r>
    </w:p>
    <w:p w14:paraId="3AE21C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（5）瘟疫；</w:t>
      </w:r>
    </w:p>
    <w:p w14:paraId="4B124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（6）项目专用合同条款约定的其他情形。</w:t>
      </w:r>
    </w:p>
    <w:p w14:paraId="60280E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4" w:name="_Toc234833209"/>
      <w:bookmarkStart w:id="1295" w:name="_Toc32580"/>
      <w:bookmarkStart w:id="1296" w:name="_Toc26115"/>
      <w:bookmarkStart w:id="1297" w:name="_Toc1492"/>
      <w:r>
        <w:rPr>
          <w:rFonts w:hint="default" w:ascii="Times New Roman" w:hAnsi="Times New Roman" w:eastAsia="黑体" w:cs="Times New Roman"/>
          <w:b w:val="0"/>
          <w:sz w:val="24"/>
          <w:szCs w:val="24"/>
          <w:highlight w:val="none"/>
        </w:rPr>
        <w:t>21.3 不可抗力后果及其处理</w:t>
      </w:r>
      <w:bookmarkEnd w:id="1294"/>
      <w:bookmarkEnd w:id="1295"/>
      <w:bookmarkEnd w:id="1296"/>
      <w:bookmarkEnd w:id="1297"/>
    </w:p>
    <w:p w14:paraId="7B1B4D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575D48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014A75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5DECBE5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98" w:name="_Toc234833210"/>
      <w:bookmarkStart w:id="1299" w:name="_Toc23055"/>
      <w:bookmarkStart w:id="1300" w:name="_Toc3129"/>
      <w:bookmarkStart w:id="1301" w:name="_Toc24433"/>
      <w:r>
        <w:rPr>
          <w:rFonts w:hint="default" w:ascii="Times New Roman" w:hAnsi="Times New Roman" w:eastAsia="黑体" w:cs="Times New Roman"/>
          <w:b w:val="0"/>
          <w:sz w:val="28"/>
          <w:szCs w:val="28"/>
          <w:highlight w:val="none"/>
        </w:rPr>
        <w:t>22. 违约</w:t>
      </w:r>
      <w:bookmarkEnd w:id="1298"/>
      <w:bookmarkEnd w:id="1299"/>
      <w:bookmarkEnd w:id="1300"/>
      <w:bookmarkEnd w:id="1301"/>
    </w:p>
    <w:p w14:paraId="4AABC7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02" w:name="_Toc26732"/>
      <w:bookmarkStart w:id="1303" w:name="_Toc7490"/>
      <w:bookmarkStart w:id="1304" w:name="_Toc234833211"/>
      <w:bookmarkStart w:id="1305" w:name="_Toc6115"/>
      <w:r>
        <w:rPr>
          <w:rFonts w:hint="default" w:ascii="Times New Roman" w:hAnsi="Times New Roman" w:eastAsia="黑体" w:cs="Times New Roman"/>
          <w:b w:val="0"/>
          <w:sz w:val="24"/>
          <w:szCs w:val="24"/>
          <w:highlight w:val="none"/>
        </w:rPr>
        <w:t>22.1 承包人违约</w:t>
      </w:r>
      <w:bookmarkEnd w:id="1302"/>
      <w:bookmarkEnd w:id="1303"/>
      <w:bookmarkEnd w:id="1304"/>
      <w:bookmarkEnd w:id="1305"/>
    </w:p>
    <w:p w14:paraId="371F4E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5BEB25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2FB0F2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（2）承包人违反第5.3款或第6.4款的约定，未经监理人批准，私自将已按合同约定进入施工场地的施工设备、临时设施、材料或工程设备撤离施工场地；</w:t>
      </w:r>
    </w:p>
    <w:p w14:paraId="15076E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本项（7）目细化为：</w:t>
      </w:r>
    </w:p>
    <w:p w14:paraId="1AB68B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（7）承包人未能按期开工；</w:t>
      </w:r>
    </w:p>
    <w:p w14:paraId="58C2F2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（8）承包人违反第4.6款或第6.3款的规定，未按承诺或未按监理人的要求及时配备称职的主要管理人员、技术骨干或关键施工设备；</w:t>
      </w:r>
    </w:p>
    <w:p w14:paraId="6D5B85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（9）经监理人和发包人检查，发现承包人有安全问题或有违反安全管理规章制度的情况；</w:t>
      </w:r>
    </w:p>
    <w:p w14:paraId="177780B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（10）承包人不按合同约定履行义务的其他情况。</w:t>
      </w:r>
    </w:p>
    <w:p w14:paraId="3EF1784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179090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369C0F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9804D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06" w:name="_Toc3432"/>
      <w:bookmarkStart w:id="1307" w:name="_Toc30636"/>
      <w:bookmarkStart w:id="1308" w:name="_Toc32105"/>
      <w:bookmarkStart w:id="1309" w:name="_Toc234833212"/>
      <w:r>
        <w:rPr>
          <w:rFonts w:hint="default" w:ascii="Times New Roman" w:hAnsi="Times New Roman" w:eastAsia="黑体" w:cs="Times New Roman"/>
          <w:b w:val="0"/>
          <w:sz w:val="24"/>
          <w:szCs w:val="24"/>
          <w:highlight w:val="none"/>
        </w:rPr>
        <w:t>22.2 发包人违约</w:t>
      </w:r>
      <w:bookmarkEnd w:id="1306"/>
      <w:bookmarkEnd w:id="1307"/>
      <w:bookmarkEnd w:id="1308"/>
      <w:bookmarkEnd w:id="1309"/>
    </w:p>
    <w:p w14:paraId="78FD8F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4A7B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本项（5）目细化为：</w:t>
      </w:r>
    </w:p>
    <w:p w14:paraId="368625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（5）发包人无正当理由不按时返还履约保证金、质量保证金或农民工工资保证金的；</w:t>
      </w:r>
    </w:p>
    <w:p w14:paraId="4E295F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（6）发包人不履行合同约定其他义务的。</w:t>
      </w:r>
    </w:p>
    <w:p w14:paraId="03136D6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19BA3E8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396882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856602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3593664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14CBB5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464034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（2）承包人为该工程施工订购并已付款的材料、工程设备和其他物品的金额。发包人付款后，该材料、工程设备和其他物品归发包人所有；</w:t>
      </w:r>
    </w:p>
    <w:p w14:paraId="16A946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10" w:name="_Toc26966"/>
      <w:bookmarkStart w:id="1311" w:name="_Toc26887"/>
      <w:bookmarkStart w:id="1312" w:name="_Toc234833213"/>
      <w:bookmarkStart w:id="1313" w:name="_Toc4428"/>
      <w:r>
        <w:rPr>
          <w:rFonts w:hint="default" w:ascii="Times New Roman" w:hAnsi="Times New Roman" w:eastAsia="黑体" w:cs="Times New Roman"/>
          <w:b w:val="0"/>
          <w:sz w:val="28"/>
          <w:szCs w:val="28"/>
          <w:highlight w:val="none"/>
        </w:rPr>
        <w:t>23. 索赔</w:t>
      </w:r>
      <w:bookmarkEnd w:id="1310"/>
      <w:bookmarkEnd w:id="1311"/>
      <w:bookmarkEnd w:id="1312"/>
      <w:bookmarkEnd w:id="1313"/>
    </w:p>
    <w:p w14:paraId="468D3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4" w:name="_Toc1551"/>
      <w:bookmarkStart w:id="1315" w:name="_Toc234833214"/>
      <w:bookmarkStart w:id="1316" w:name="_Toc5503"/>
      <w:bookmarkStart w:id="1317" w:name="_Toc13524"/>
      <w:r>
        <w:rPr>
          <w:rFonts w:hint="default" w:ascii="Times New Roman" w:hAnsi="Times New Roman" w:eastAsia="黑体" w:cs="Times New Roman"/>
          <w:b w:val="0"/>
          <w:sz w:val="24"/>
          <w:szCs w:val="24"/>
          <w:highlight w:val="none"/>
        </w:rPr>
        <w:t>23.1 承包人索赔的提出</w:t>
      </w:r>
      <w:bookmarkEnd w:id="1314"/>
      <w:bookmarkEnd w:id="1315"/>
      <w:bookmarkEnd w:id="1316"/>
      <w:bookmarkEnd w:id="1317"/>
    </w:p>
    <w:p w14:paraId="35C807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本款第（4）项细化为：</w:t>
      </w:r>
    </w:p>
    <w:p w14:paraId="720720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（4）在索赔事件影响结束后的28天内，承包人应向监理人递交最终索赔通知书，说明最终要求索赔的追加付款金额和（或）延长的工期，并附必要的记录和证明材料。</w:t>
      </w:r>
    </w:p>
    <w:p w14:paraId="38E2ED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8" w:name="_Toc29342"/>
      <w:bookmarkStart w:id="1319" w:name="_Toc13497"/>
      <w:bookmarkStart w:id="1320" w:name="_Toc12793"/>
      <w:bookmarkStart w:id="1321" w:name="_Toc234833215"/>
      <w:r>
        <w:rPr>
          <w:rFonts w:hint="default" w:ascii="Times New Roman" w:hAnsi="Times New Roman" w:eastAsia="黑体" w:cs="Times New Roman"/>
          <w:b w:val="0"/>
          <w:sz w:val="24"/>
          <w:szCs w:val="24"/>
          <w:highlight w:val="none"/>
        </w:rPr>
        <w:t>23.2 承包人索赔处理程序</w:t>
      </w:r>
      <w:bookmarkEnd w:id="1318"/>
      <w:bookmarkEnd w:id="1319"/>
      <w:bookmarkEnd w:id="1320"/>
      <w:bookmarkEnd w:id="1321"/>
    </w:p>
    <w:p w14:paraId="6F241F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本款第（2）项细化为：</w:t>
      </w:r>
    </w:p>
    <w:p w14:paraId="1313E8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AD61F7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22" w:name="_Toc7522"/>
      <w:bookmarkStart w:id="1323" w:name="_Toc11561"/>
      <w:bookmarkStart w:id="1324" w:name="_Toc18247"/>
      <w:bookmarkStart w:id="1325" w:name="_Toc234833216"/>
      <w:r>
        <w:rPr>
          <w:rFonts w:hint="default" w:ascii="Times New Roman" w:hAnsi="Times New Roman" w:eastAsia="黑体" w:cs="Times New Roman"/>
          <w:b w:val="0"/>
          <w:sz w:val="28"/>
          <w:szCs w:val="28"/>
          <w:highlight w:val="none"/>
        </w:rPr>
        <w:t>24. 争议的解决</w:t>
      </w:r>
      <w:bookmarkEnd w:id="1322"/>
      <w:bookmarkEnd w:id="1323"/>
      <w:bookmarkEnd w:id="1324"/>
      <w:bookmarkEnd w:id="1325"/>
    </w:p>
    <w:p w14:paraId="4C1167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26" w:name="_Toc18858"/>
      <w:bookmarkStart w:id="1327" w:name="_Toc26371"/>
      <w:bookmarkStart w:id="1328" w:name="_Toc234833217"/>
      <w:bookmarkStart w:id="1329" w:name="_Toc15371"/>
      <w:r>
        <w:rPr>
          <w:rFonts w:hint="default" w:ascii="Times New Roman" w:hAnsi="Times New Roman" w:eastAsia="黑体" w:cs="Times New Roman"/>
          <w:b w:val="0"/>
          <w:sz w:val="24"/>
          <w:szCs w:val="24"/>
          <w:highlight w:val="none"/>
        </w:rPr>
        <w:t>24.3 争议评审</w:t>
      </w:r>
      <w:bookmarkEnd w:id="1326"/>
      <w:bookmarkEnd w:id="1327"/>
      <w:bookmarkEnd w:id="1328"/>
      <w:bookmarkEnd w:id="1329"/>
    </w:p>
    <w:p w14:paraId="6B5180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第24.3.1项补充：</w:t>
      </w:r>
    </w:p>
    <w:p w14:paraId="737128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8F7FF6">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本条补充第24.4款、第24.5款（适用于采用仲裁方式最终解决争议的项目）：</w:t>
      </w:r>
    </w:p>
    <w:p w14:paraId="49F086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0" w:name="_Toc234833218"/>
      <w:bookmarkStart w:id="1331" w:name="_Toc24846"/>
      <w:bookmarkStart w:id="1332" w:name="_Toc13339"/>
      <w:bookmarkStart w:id="1333" w:name="_Toc32419"/>
      <w:r>
        <w:rPr>
          <w:rFonts w:hint="default" w:ascii="Times New Roman" w:hAnsi="Times New Roman" w:eastAsia="黑体" w:cs="Times New Roman"/>
          <w:b w:val="0"/>
          <w:sz w:val="24"/>
          <w:szCs w:val="24"/>
          <w:highlight w:val="none"/>
        </w:rPr>
        <w:t>24.4 仲裁</w:t>
      </w:r>
      <w:bookmarkEnd w:id="1330"/>
      <w:bookmarkEnd w:id="1331"/>
      <w:bookmarkEnd w:id="1332"/>
      <w:bookmarkEnd w:id="1333"/>
    </w:p>
    <w:p w14:paraId="7383E5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（1）对于未能友好解决或未能通过争议评审解决的争议，发包人或承包人任一方均有权提交给第24.1款约定的仲裁委员会仲裁。</w:t>
      </w:r>
    </w:p>
    <w:p w14:paraId="3DD02C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1D1A8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（3）仲裁裁决是终局性的并对发包人和承包人双方具有约束力。</w:t>
      </w:r>
    </w:p>
    <w:p w14:paraId="5D36839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（4）全部仲裁费用应由败诉方承担；或按仲裁委员会裁决的比例分担。</w:t>
      </w:r>
    </w:p>
    <w:p w14:paraId="41D664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4" w:name="_Toc2028"/>
      <w:bookmarkStart w:id="1335" w:name="_Toc20967"/>
      <w:bookmarkStart w:id="1336" w:name="_Toc3644"/>
      <w:bookmarkStart w:id="1337" w:name="_Toc234833219"/>
      <w:r>
        <w:rPr>
          <w:rFonts w:hint="default" w:ascii="Times New Roman" w:hAnsi="Times New Roman" w:eastAsia="黑体" w:cs="Times New Roman"/>
          <w:b w:val="0"/>
          <w:sz w:val="24"/>
          <w:szCs w:val="24"/>
          <w:highlight w:val="none"/>
        </w:rPr>
        <w:t>24.5 仲裁的执行</w:t>
      </w:r>
      <w:bookmarkEnd w:id="1334"/>
      <w:bookmarkEnd w:id="1335"/>
      <w:bookmarkEnd w:id="1336"/>
      <w:bookmarkEnd w:id="1337"/>
    </w:p>
    <w:p w14:paraId="490D97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（1）任何一方不履行仲裁机构的裁决的，对方可以向有管辖权的人民法院申请执行。</w:t>
      </w:r>
    </w:p>
    <w:p w14:paraId="274187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5F8150AA">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4"/>
          <w:highlight w:val="none"/>
        </w:rPr>
        <w:br w:type="page"/>
      </w:r>
      <w:bookmarkStart w:id="1338" w:name="_Toc234833220"/>
      <w:bookmarkStart w:id="1339" w:name="_Toc5248"/>
      <w:bookmarkStart w:id="1340" w:name="_Toc3230"/>
      <w:r>
        <w:rPr>
          <w:rFonts w:hint="default" w:ascii="Times New Roman" w:hAnsi="Times New Roman" w:eastAsia="黑体" w:cs="Times New Roman"/>
          <w:b w:val="0"/>
          <w:sz w:val="32"/>
          <w:szCs w:val="32"/>
          <w:highlight w:val="none"/>
        </w:rPr>
        <w:t>B. 项目专用合同条款</w:t>
      </w:r>
      <w:bookmarkEnd w:id="1338"/>
      <w:bookmarkEnd w:id="1339"/>
      <w:bookmarkEnd w:id="1340"/>
    </w:p>
    <w:p w14:paraId="619E19A3">
      <w:pPr>
        <w:pageBreakBefore w:val="0"/>
        <w:kinsoku/>
        <w:wordWrap w:val="0"/>
        <w:bidi w:val="0"/>
        <w:spacing w:line="440" w:lineRule="exact"/>
        <w:rPr>
          <w:rFonts w:hint="default" w:ascii="Times New Roman" w:hAnsi="Times New Roman" w:eastAsia="黑体" w:cs="Times New Roman"/>
          <w:sz w:val="27"/>
          <w:szCs w:val="27"/>
          <w:highlight w:val="none"/>
        </w:rPr>
      </w:pPr>
    </w:p>
    <w:p w14:paraId="7AE21622">
      <w:pPr>
        <w:pStyle w:val="17"/>
        <w:pageBreakBefore w:val="0"/>
        <w:kinsoku/>
        <w:wordWrap w:val="0"/>
        <w:bidi w:val="0"/>
        <w:snapToGrid w:val="0"/>
        <w:spacing w:line="400" w:lineRule="atLeast"/>
        <w:ind w:left="0" w:leftChars="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  明：</w:t>
      </w:r>
    </w:p>
    <w:p w14:paraId="61A3DC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1.招标人在根据《</w:t>
      </w:r>
      <w:r>
        <w:rPr>
          <w:rFonts w:hint="default" w:ascii="Times New Roman" w:hAnsi="Times New Roman" w:eastAsia="楷体_GB2312" w:cs="Times New Roman"/>
          <w:sz w:val="24"/>
          <w:highlight w:val="none"/>
          <w:lang w:val="en-US" w:eastAsia="zh-CN"/>
        </w:rPr>
        <w:t>标准文件</w:t>
      </w:r>
      <w:r>
        <w:rPr>
          <w:rFonts w:hint="default" w:ascii="Times New Roman" w:hAnsi="Times New Roman" w:eastAsia="楷体_GB2312" w:cs="Times New Roman"/>
          <w:sz w:val="24"/>
          <w:highlight w:val="none"/>
        </w:rPr>
        <w:t>》编制项目招标文件中的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时，可根据招标项目的具体特点和实际需要，对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进行补充和细化，除</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可作出不同约定以及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可作出不同约定外，补充和细化的内容不得与</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强制性规定相抵触。同时，补充、细化或约定的内容，不得违反法律、行政法规的强制性规定和平等、自愿、公平和诚实信用原则。</w:t>
      </w:r>
    </w:p>
    <w:p w14:paraId="319BF32D">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2.项目专用合同条款的编号应与通用合同条款和公路工程专用合同条款一致。</w:t>
      </w:r>
    </w:p>
    <w:p w14:paraId="1DA98288">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3.项目专用合同条款可对下列内容进行补充和细化：</w:t>
      </w:r>
    </w:p>
    <w:p w14:paraId="7AA608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应按合同约定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应按专用合同条款约定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除合同另有约定外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在专用合同条款中约定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04516ED1">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除项目专用合同条款另有约定外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项目专用合同条款可能约定的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项目专用合同条款约定的其他情形</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253000C5">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（3）其他需要补充、细化的内容。</w:t>
      </w:r>
    </w:p>
    <w:p w14:paraId="2ADF315F">
      <w:pPr>
        <w:pStyle w:val="17"/>
        <w:pageBreakBefore w:val="0"/>
        <w:kinsoku/>
        <w:wordWrap w:val="0"/>
        <w:bidi w:val="0"/>
        <w:snapToGrid w:val="0"/>
        <w:spacing w:line="400" w:lineRule="atLeast"/>
        <w:ind w:left="0" w:leftChars="0" w:firstLine="720" w:firstLineChars="300"/>
        <w:rPr>
          <w:rFonts w:hint="default" w:ascii="Times New Roman" w:hAnsi="Times New Roman" w:eastAsia="黑体" w:cs="Times New Roman"/>
          <w:sz w:val="24"/>
          <w:highlight w:val="none"/>
        </w:rPr>
      </w:pPr>
    </w:p>
    <w:p w14:paraId="0C6E81B2">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8"/>
          <w:highlight w:val="none"/>
        </w:rPr>
        <w:br w:type="page"/>
      </w:r>
      <w:bookmarkStart w:id="1341" w:name="_Toc30237"/>
      <w:bookmarkStart w:id="1342" w:name="_Toc28923"/>
      <w:bookmarkStart w:id="1343" w:name="_Toc234833221"/>
      <w:bookmarkStart w:id="1344" w:name="_Toc7284"/>
      <w:r>
        <w:rPr>
          <w:rFonts w:hint="default" w:ascii="Times New Roman" w:hAnsi="Times New Roman" w:eastAsia="黑体" w:cs="Times New Roman"/>
          <w:b w:val="0"/>
          <w:sz w:val="32"/>
          <w:szCs w:val="32"/>
          <w:highlight w:val="none"/>
        </w:rPr>
        <w:t>项目专用合同条款数据表</w:t>
      </w:r>
      <w:bookmarkEnd w:id="1341"/>
      <w:bookmarkEnd w:id="1342"/>
      <w:bookmarkEnd w:id="1343"/>
      <w:bookmarkEnd w:id="1344"/>
    </w:p>
    <w:p w14:paraId="2C66CDF1">
      <w:pPr>
        <w:pStyle w:val="17"/>
        <w:pageBreakBefore w:val="0"/>
        <w:kinsoku/>
        <w:wordWrap w:val="0"/>
        <w:bidi w:val="0"/>
        <w:snapToGrid w:val="0"/>
        <w:spacing w:after="0" w:line="400" w:lineRule="atLeast"/>
        <w:ind w:left="660" w:leftChars="0" w:hanging="660" w:hangingChars="275"/>
        <w:rPr>
          <w:rFonts w:hint="default" w:ascii="Times New Roman" w:hAnsi="Times New Roman"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本数据表是项目专用合同条款中适用于本项目的信息和数据的归纳与提示，是项目专用合同条款的组成部分。第九章</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的投标函附录中的数据（供投标人确认）与本表所列有重复。编写招标文件的单位应仔细校核，不使数据出现差错或不一致。</w:t>
      </w:r>
    </w:p>
    <w:p w14:paraId="7FC450E3">
      <w:pPr>
        <w:spacing w:before="109" w:line="222" w:lineRule="auto"/>
        <w:ind w:left="838"/>
        <w:rPr>
          <w:rFonts w:ascii="楷体" w:hAnsi="楷体" w:eastAsia="楷体" w:cs="楷体"/>
          <w:sz w:val="23"/>
          <w:szCs w:val="23"/>
          <w:highlight w:val="none"/>
        </w:rPr>
      </w:pPr>
      <w:bookmarkStart w:id="1345" w:name="_Toc234833222"/>
      <w:bookmarkStart w:id="1346" w:name="_Toc28935"/>
      <w:bookmarkStart w:id="1347" w:name="_Toc1829"/>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21262F8F">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720952B">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BFCAB44">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0179A92C">
            <w:pPr>
              <w:spacing w:line="269" w:lineRule="auto"/>
              <w:rPr>
                <w:rFonts w:ascii="Arial"/>
                <w:sz w:val="21"/>
                <w:highlight w:val="none"/>
              </w:rPr>
            </w:pPr>
          </w:p>
          <w:p w14:paraId="7D4E7892">
            <w:pPr>
              <w:spacing w:before="57" w:line="195" w:lineRule="auto"/>
              <w:ind w:left="22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1113" w:type="dxa"/>
            <w:vAlign w:val="top"/>
          </w:tcPr>
          <w:p w14:paraId="4E89C5CC">
            <w:pPr>
              <w:spacing w:line="269" w:lineRule="auto"/>
              <w:rPr>
                <w:rFonts w:ascii="Arial"/>
                <w:sz w:val="21"/>
                <w:highlight w:val="none"/>
              </w:rPr>
            </w:pPr>
          </w:p>
          <w:p w14:paraId="404D0480">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1.2.2</w:t>
            </w:r>
          </w:p>
        </w:tc>
        <w:tc>
          <w:tcPr>
            <w:tcW w:w="7644" w:type="dxa"/>
            <w:tcBorders>
              <w:right w:val="single" w:color="000000" w:sz="6" w:space="0"/>
            </w:tcBorders>
            <w:vAlign w:val="top"/>
          </w:tcPr>
          <w:p w14:paraId="41AEC0FE">
            <w:pPr>
              <w:spacing w:before="138" w:line="228"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 xml:space="preserve"> </w:t>
            </w:r>
            <w:r>
              <w:rPr>
                <w:rFonts w:ascii="宋体" w:hAnsi="宋体" w:eastAsia="宋体" w:cs="宋体"/>
                <w:spacing w:val="8"/>
                <w:sz w:val="20"/>
                <w:szCs w:val="20"/>
                <w:highlight w:val="none"/>
              </w:rPr>
              <w:t>包 人：</w:t>
            </w:r>
            <w:r>
              <w:rPr>
                <w:rFonts w:hint="eastAsia" w:ascii="宋体" w:hAnsi="宋体" w:cs="宋体"/>
                <w:spacing w:val="8"/>
                <w:sz w:val="20"/>
                <w:szCs w:val="20"/>
                <w:highlight w:val="none"/>
                <w:u w:val="single" w:color="auto"/>
                <w:lang w:eastAsia="zh-CN"/>
              </w:rPr>
              <w:t>大石桥市交通运输事务中心</w:t>
            </w:r>
            <w:r>
              <w:rPr>
                <w:rFonts w:ascii="宋体" w:hAnsi="宋体" w:eastAsia="宋体" w:cs="宋体"/>
                <w:sz w:val="20"/>
                <w:szCs w:val="20"/>
                <w:highlight w:val="none"/>
                <w:u w:val="single" w:color="auto"/>
              </w:rPr>
              <w:t xml:space="preserve"> </w:t>
            </w:r>
          </w:p>
          <w:p w14:paraId="3678A9E1">
            <w:pPr>
              <w:spacing w:before="153" w:line="228" w:lineRule="auto"/>
              <w:ind w:left="318"/>
              <w:rPr>
                <w:rFonts w:hint="eastAsia" w:ascii="宋体" w:hAnsi="宋体" w:eastAsia="宋体" w:cs="宋体"/>
                <w:sz w:val="20"/>
                <w:szCs w:val="20"/>
                <w:highlight w:val="none"/>
                <w:lang w:eastAsia="zh-CN"/>
              </w:rPr>
            </w:pPr>
            <w:r>
              <w:rPr>
                <w:rFonts w:ascii="宋体" w:hAnsi="宋体" w:eastAsia="宋体" w:cs="宋体"/>
                <w:spacing w:val="9"/>
                <w:sz w:val="20"/>
                <w:szCs w:val="20"/>
                <w:highlight w:val="none"/>
              </w:rPr>
              <w:t>地</w:t>
            </w:r>
            <w:r>
              <w:rPr>
                <w:rFonts w:ascii="宋体" w:hAnsi="宋体" w:eastAsia="宋体" w:cs="宋体"/>
                <w:spacing w:val="5"/>
                <w:sz w:val="20"/>
                <w:szCs w:val="20"/>
                <w:highlight w:val="none"/>
              </w:rPr>
              <w:t xml:space="preserve">    址：</w:t>
            </w:r>
            <w:r>
              <w:rPr>
                <w:rFonts w:hint="eastAsia" w:ascii="宋体" w:hAnsi="宋体" w:cs="宋体"/>
                <w:spacing w:val="5"/>
                <w:sz w:val="20"/>
                <w:szCs w:val="20"/>
                <w:highlight w:val="none"/>
                <w:u w:val="single" w:color="auto"/>
                <w:lang w:eastAsia="zh-CN"/>
              </w:rPr>
              <w:t>大石桥市哈大中路1号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vAlign w:val="top"/>
          </w:tcPr>
          <w:p w14:paraId="6571FC25">
            <w:pPr>
              <w:spacing w:line="468" w:lineRule="auto"/>
              <w:rPr>
                <w:rFonts w:ascii="Arial"/>
                <w:sz w:val="21"/>
                <w:highlight w:val="none"/>
              </w:rPr>
            </w:pPr>
          </w:p>
          <w:p w14:paraId="69040CEF">
            <w:pPr>
              <w:spacing w:before="57" w:line="195" w:lineRule="auto"/>
              <w:ind w:left="20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113" w:type="dxa"/>
            <w:vAlign w:val="top"/>
          </w:tcPr>
          <w:p w14:paraId="6690F93A">
            <w:pPr>
              <w:spacing w:line="468" w:lineRule="auto"/>
              <w:rPr>
                <w:rFonts w:ascii="Arial"/>
                <w:sz w:val="21"/>
                <w:highlight w:val="none"/>
              </w:rPr>
            </w:pPr>
          </w:p>
          <w:p w14:paraId="383B7085">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1.2.6</w:t>
            </w:r>
          </w:p>
        </w:tc>
        <w:tc>
          <w:tcPr>
            <w:tcW w:w="7644" w:type="dxa"/>
            <w:tcBorders>
              <w:right w:val="single" w:color="000000" w:sz="6" w:space="0"/>
            </w:tcBorders>
            <w:vAlign w:val="top"/>
          </w:tcPr>
          <w:p w14:paraId="361689BC">
            <w:pPr>
              <w:spacing w:before="137" w:line="231" w:lineRule="auto"/>
              <w:ind w:left="318"/>
              <w:rPr>
                <w:rFonts w:ascii="宋体" w:hAnsi="宋体" w:eastAsia="宋体" w:cs="宋体"/>
                <w:sz w:val="20"/>
                <w:szCs w:val="20"/>
                <w:highlight w:val="none"/>
              </w:rPr>
            </w:pPr>
            <w:r>
              <w:rPr>
                <w:rFonts w:ascii="宋体" w:hAnsi="宋体" w:eastAsia="宋体" w:cs="宋体"/>
                <w:spacing w:val="6"/>
                <w:sz w:val="20"/>
                <w:szCs w:val="20"/>
                <w:highlight w:val="none"/>
              </w:rPr>
              <w:t>监</w:t>
            </w:r>
            <w:r>
              <w:rPr>
                <w:rFonts w:ascii="宋体" w:hAnsi="宋体" w:eastAsia="宋体" w:cs="宋体"/>
                <w:spacing w:val="5"/>
                <w:sz w:val="20"/>
                <w:szCs w:val="20"/>
                <w:highlight w:val="none"/>
              </w:rPr>
              <w:t xml:space="preserve"> 理 人：</w:t>
            </w:r>
          </w:p>
          <w:p w14:paraId="79013F11">
            <w:pPr>
              <w:spacing w:before="150" w:line="228" w:lineRule="auto"/>
              <w:ind w:left="318"/>
              <w:rPr>
                <w:rFonts w:ascii="宋体" w:hAnsi="宋体" w:eastAsia="宋体" w:cs="宋体"/>
                <w:sz w:val="20"/>
                <w:szCs w:val="20"/>
                <w:highlight w:val="none"/>
              </w:rPr>
            </w:pPr>
            <w:r>
              <w:rPr>
                <w:rFonts w:ascii="宋体" w:hAnsi="宋体" w:eastAsia="宋体" w:cs="宋体"/>
                <w:spacing w:val="-1"/>
                <w:sz w:val="20"/>
                <w:szCs w:val="20"/>
                <w:highlight w:val="none"/>
              </w:rPr>
              <w:t xml:space="preserve">地    址：                  </w:t>
            </w:r>
            <w:r>
              <w:rPr>
                <w:rFonts w:ascii="宋体" w:hAnsi="宋体" w:eastAsia="宋体" w:cs="宋体"/>
                <w:sz w:val="20"/>
                <w:szCs w:val="20"/>
                <w:highlight w:val="none"/>
              </w:rPr>
              <w:t xml:space="preserve">   邮政编码：</w:t>
            </w:r>
          </w:p>
          <w:p w14:paraId="107630B9">
            <w:pPr>
              <w:spacing w:before="154" w:line="227" w:lineRule="auto"/>
              <w:ind w:left="328"/>
              <w:rPr>
                <w:rFonts w:ascii="宋体" w:hAnsi="宋体" w:eastAsia="宋体" w:cs="宋体"/>
                <w:sz w:val="20"/>
                <w:szCs w:val="20"/>
                <w:highlight w:val="none"/>
              </w:rPr>
            </w:pPr>
            <w:r>
              <w:rPr>
                <w:rFonts w:ascii="宋体" w:hAnsi="宋体" w:eastAsia="宋体" w:cs="宋体"/>
                <w:spacing w:val="24"/>
                <w:sz w:val="20"/>
                <w:szCs w:val="20"/>
                <w:highlight w:val="none"/>
              </w:rPr>
              <w:t>(</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BBAAC06">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113" w:type="dxa"/>
            <w:vAlign w:val="top"/>
          </w:tcPr>
          <w:p w14:paraId="5AE8D278">
            <w:pPr>
              <w:spacing w:before="131" w:line="195" w:lineRule="auto"/>
              <w:ind w:left="23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1.1.3.14</w:t>
            </w:r>
          </w:p>
        </w:tc>
        <w:tc>
          <w:tcPr>
            <w:tcW w:w="7644" w:type="dxa"/>
            <w:tcBorders>
              <w:right w:val="single" w:color="000000" w:sz="6" w:space="0"/>
            </w:tcBorders>
            <w:vAlign w:val="top"/>
          </w:tcPr>
          <w:p w14:paraId="3DEF7AD2">
            <w:pPr>
              <w:spacing w:before="138" w:line="227" w:lineRule="auto"/>
              <w:ind w:left="318"/>
              <w:rPr>
                <w:rFonts w:ascii="宋体" w:hAnsi="宋体" w:eastAsia="宋体" w:cs="宋体"/>
                <w:sz w:val="20"/>
                <w:szCs w:val="20"/>
                <w:highlight w:val="none"/>
              </w:rPr>
            </w:pPr>
            <w:r>
              <w:rPr>
                <w:rFonts w:ascii="宋体" w:hAnsi="宋体" w:eastAsia="宋体" w:cs="宋体"/>
                <w:spacing w:val="20"/>
                <w:sz w:val="20"/>
                <w:szCs w:val="20"/>
                <w:highlight w:val="none"/>
              </w:rPr>
              <w:t>本</w:t>
            </w:r>
            <w:r>
              <w:rPr>
                <w:rFonts w:ascii="宋体" w:hAnsi="宋体" w:eastAsia="宋体" w:cs="宋体"/>
                <w:spacing w:val="10"/>
                <w:sz w:val="20"/>
                <w:szCs w:val="20"/>
                <w:highlight w:val="none"/>
              </w:rPr>
              <w:t>工程的主体和关键性工作是指：</w:t>
            </w:r>
            <w:r>
              <w:rPr>
                <w:rFonts w:hint="eastAsia" w:ascii="宋体" w:hAnsi="宋体" w:cs="宋体"/>
                <w:spacing w:val="10"/>
                <w:sz w:val="20"/>
                <w:szCs w:val="20"/>
                <w:highlight w:val="none"/>
                <w:u w:val="single" w:color="auto"/>
                <w:lang w:eastAsia="zh-CN"/>
              </w:rPr>
              <w:t>对新生</w:t>
            </w:r>
            <w:r>
              <w:rPr>
                <w:rFonts w:hint="eastAsia" w:ascii="宋体" w:hAnsi="宋体" w:cs="宋体"/>
                <w:spacing w:val="10"/>
                <w:sz w:val="20"/>
                <w:szCs w:val="20"/>
                <w:highlight w:val="none"/>
                <w:u w:val="single" w:color="auto"/>
                <w:lang w:val="en-US" w:eastAsia="zh-CN"/>
              </w:rPr>
              <w:t>2号桥进行改造工程</w:t>
            </w:r>
            <w:r>
              <w:rPr>
                <w:rFonts w:ascii="宋体" w:hAnsi="宋体" w:eastAsia="宋体" w:cs="宋体"/>
                <w:spacing w:val="10"/>
                <w:sz w:val="20"/>
                <w:szCs w:val="20"/>
                <w:highlight w:val="none"/>
                <w:u w:val="single" w:color="auto"/>
              </w:rPr>
              <w:t>。</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0755531E">
            <w:pPr>
              <w:spacing w:before="129" w:line="195" w:lineRule="auto"/>
              <w:ind w:left="20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1113" w:type="dxa"/>
            <w:vAlign w:val="top"/>
          </w:tcPr>
          <w:p w14:paraId="76110DD6">
            <w:pPr>
              <w:spacing w:before="129"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1.4.5</w:t>
            </w:r>
          </w:p>
        </w:tc>
        <w:tc>
          <w:tcPr>
            <w:tcW w:w="7644" w:type="dxa"/>
            <w:tcBorders>
              <w:right w:val="single" w:color="000000" w:sz="6" w:space="0"/>
            </w:tcBorders>
            <w:vAlign w:val="top"/>
          </w:tcPr>
          <w:p w14:paraId="705EBBE5">
            <w:pPr>
              <w:spacing w:before="139" w:line="223"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缺陷责任</w:t>
            </w:r>
            <w:r>
              <w:rPr>
                <w:rFonts w:ascii="宋体" w:hAnsi="宋体" w:eastAsia="宋体" w:cs="宋体"/>
                <w:spacing w:val="5"/>
                <w:sz w:val="20"/>
                <w:szCs w:val="20"/>
                <w:highlight w:val="none"/>
              </w:rPr>
              <w:t>期</w:t>
            </w:r>
            <w:r>
              <w:rPr>
                <w:rFonts w:ascii="宋体" w:hAnsi="宋体" w:eastAsia="宋体" w:cs="宋体"/>
                <w:spacing w:val="4"/>
                <w:sz w:val="20"/>
                <w:szCs w:val="20"/>
                <w:highlight w:val="none"/>
              </w:rPr>
              <w:t xml:space="preserve">：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vAlign w:val="top"/>
          </w:tcPr>
          <w:p w14:paraId="0ABB19B8">
            <w:pPr>
              <w:spacing w:line="272" w:lineRule="auto"/>
              <w:rPr>
                <w:rFonts w:ascii="Arial"/>
                <w:sz w:val="21"/>
                <w:highlight w:val="none"/>
              </w:rPr>
            </w:pPr>
          </w:p>
          <w:p w14:paraId="4216DB51">
            <w:pPr>
              <w:spacing w:line="272" w:lineRule="auto"/>
              <w:rPr>
                <w:rFonts w:ascii="Arial"/>
                <w:sz w:val="21"/>
                <w:highlight w:val="none"/>
              </w:rPr>
            </w:pPr>
          </w:p>
          <w:p w14:paraId="3B9D3E40">
            <w:pPr>
              <w:spacing w:line="272" w:lineRule="auto"/>
              <w:rPr>
                <w:rFonts w:ascii="Arial"/>
                <w:sz w:val="21"/>
                <w:highlight w:val="none"/>
              </w:rPr>
            </w:pPr>
          </w:p>
          <w:p w14:paraId="417CA999">
            <w:pPr>
              <w:spacing w:line="272" w:lineRule="auto"/>
              <w:rPr>
                <w:rFonts w:ascii="Arial"/>
                <w:sz w:val="21"/>
                <w:highlight w:val="none"/>
              </w:rPr>
            </w:pPr>
          </w:p>
          <w:p w14:paraId="3C04F79A">
            <w:pPr>
              <w:spacing w:before="57" w:line="192" w:lineRule="auto"/>
              <w:ind w:left="214"/>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1113" w:type="dxa"/>
            <w:vAlign w:val="top"/>
          </w:tcPr>
          <w:p w14:paraId="4229C6AA">
            <w:pPr>
              <w:spacing w:line="271" w:lineRule="auto"/>
              <w:rPr>
                <w:rFonts w:ascii="Arial"/>
                <w:sz w:val="21"/>
                <w:highlight w:val="none"/>
              </w:rPr>
            </w:pPr>
          </w:p>
          <w:p w14:paraId="4A25D3E0">
            <w:pPr>
              <w:spacing w:line="271" w:lineRule="auto"/>
              <w:rPr>
                <w:rFonts w:ascii="Arial"/>
                <w:sz w:val="21"/>
                <w:highlight w:val="none"/>
              </w:rPr>
            </w:pPr>
          </w:p>
          <w:p w14:paraId="37B29DEA">
            <w:pPr>
              <w:spacing w:line="271" w:lineRule="auto"/>
              <w:rPr>
                <w:rFonts w:ascii="Arial"/>
                <w:sz w:val="21"/>
                <w:highlight w:val="none"/>
              </w:rPr>
            </w:pPr>
          </w:p>
          <w:p w14:paraId="73C3CCCA">
            <w:pPr>
              <w:spacing w:line="272" w:lineRule="auto"/>
              <w:rPr>
                <w:rFonts w:ascii="Arial"/>
                <w:sz w:val="21"/>
                <w:highlight w:val="none"/>
              </w:rPr>
            </w:pPr>
          </w:p>
          <w:p w14:paraId="501C6CEB">
            <w:pPr>
              <w:spacing w:before="57"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.6.3</w:t>
            </w:r>
          </w:p>
        </w:tc>
        <w:tc>
          <w:tcPr>
            <w:tcW w:w="7644" w:type="dxa"/>
            <w:tcBorders>
              <w:right w:val="single" w:color="000000" w:sz="6" w:space="0"/>
            </w:tcBorders>
            <w:vAlign w:val="top"/>
          </w:tcPr>
          <w:p w14:paraId="02B0CBAC">
            <w:pPr>
              <w:spacing w:before="159" w:line="369" w:lineRule="auto"/>
              <w:ind w:left="108" w:right="104" w:firstLine="230"/>
              <w:rPr>
                <w:rFonts w:ascii="宋体" w:hAnsi="宋体" w:eastAsia="宋体" w:cs="宋体"/>
                <w:sz w:val="20"/>
                <w:szCs w:val="20"/>
                <w:highlight w:val="none"/>
              </w:rPr>
            </w:pPr>
            <w:r>
              <w:rPr>
                <w:rFonts w:ascii="宋体" w:hAnsi="宋体" w:eastAsia="宋体" w:cs="宋体"/>
                <w:spacing w:val="22"/>
                <w:sz w:val="20"/>
                <w:szCs w:val="20"/>
                <w:highlight w:val="none"/>
              </w:rPr>
              <w:t>图</w:t>
            </w:r>
            <w:r>
              <w:rPr>
                <w:rFonts w:ascii="宋体" w:hAnsi="宋体" w:eastAsia="宋体" w:cs="宋体"/>
                <w:spacing w:val="16"/>
                <w:sz w:val="20"/>
                <w:szCs w:val="20"/>
                <w:highlight w:val="none"/>
              </w:rPr>
              <w:t>纸</w:t>
            </w:r>
            <w:r>
              <w:rPr>
                <w:rFonts w:ascii="宋体" w:hAnsi="宋体" w:eastAsia="宋体" w:cs="宋体"/>
                <w:spacing w:val="11"/>
                <w:sz w:val="20"/>
                <w:szCs w:val="20"/>
                <w:highlight w:val="none"/>
              </w:rPr>
              <w:t>需要修改和补充的，应由监理人取得发包人同意后，在该工程或工程相应</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部</w:t>
            </w:r>
            <w:r>
              <w:rPr>
                <w:rFonts w:ascii="宋体" w:hAnsi="宋体" w:eastAsia="宋体" w:cs="宋体"/>
                <w:spacing w:val="6"/>
                <w:sz w:val="20"/>
                <w:szCs w:val="20"/>
                <w:highlight w:val="none"/>
              </w:rPr>
              <w:t>位施工前</w:t>
            </w:r>
            <w:r>
              <w:rPr>
                <w:rFonts w:ascii="Times New Roman" w:hAnsi="Times New Roman" w:eastAsia="Times New Roman" w:cs="Times New Roman"/>
                <w:spacing w:val="6"/>
                <w:sz w:val="20"/>
                <w:szCs w:val="20"/>
                <w:highlight w:val="none"/>
                <w:u w:val="single" w:color="auto"/>
              </w:rPr>
              <w:t xml:space="preserve">    7    </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天签发图纸修改图给承包人。承包人应按修改或补充 (新增减工</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程) 后的图纸施工。</w:t>
            </w:r>
          </w:p>
          <w:p w14:paraId="36C2F89F">
            <w:pPr>
              <w:spacing w:before="1" w:line="368" w:lineRule="auto"/>
              <w:ind w:left="112" w:right="102" w:firstLine="204"/>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12"/>
                <w:sz w:val="20"/>
                <w:szCs w:val="20"/>
                <w:highlight w:val="none"/>
              </w:rPr>
              <w:t>没有发包人及监理人共同批准的前提下，承包人不得对施工图的任何部分进</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行修改，否则按承包人违约处理，并由承包人承担由此产生的一切后果和经济</w:t>
            </w:r>
            <w:r>
              <w:rPr>
                <w:rFonts w:ascii="宋体" w:hAnsi="宋体" w:eastAsia="宋体" w:cs="宋体"/>
                <w:spacing w:val="10"/>
                <w:sz w:val="20"/>
                <w:szCs w:val="20"/>
                <w:highlight w:val="none"/>
              </w:rPr>
              <w:t>责</w:t>
            </w:r>
          </w:p>
          <w:p w14:paraId="44582A52">
            <w:pPr>
              <w:spacing w:line="227" w:lineRule="auto"/>
              <w:ind w:left="108"/>
              <w:rPr>
                <w:rFonts w:ascii="宋体" w:hAnsi="宋体" w:eastAsia="宋体" w:cs="宋体"/>
                <w:sz w:val="20"/>
                <w:szCs w:val="20"/>
                <w:highlight w:val="none"/>
              </w:rPr>
            </w:pPr>
            <w:r>
              <w:rPr>
                <w:rFonts w:ascii="宋体" w:hAnsi="宋体" w:eastAsia="宋体" w:cs="宋体"/>
                <w:spacing w:val="1"/>
                <w:sz w:val="20"/>
                <w:szCs w:val="20"/>
                <w:highlight w:val="none"/>
              </w:rPr>
              <w:t>任</w:t>
            </w:r>
            <w:r>
              <w:rPr>
                <w:rFonts w:ascii="宋体" w:hAnsi="宋体" w:eastAsia="宋体" w:cs="宋体"/>
                <w:sz w:val="20"/>
                <w:szCs w:val="20"/>
                <w:highlight w:val="none"/>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vAlign w:val="top"/>
          </w:tcPr>
          <w:p w14:paraId="6E894A95">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1113" w:type="dxa"/>
            <w:vAlign w:val="top"/>
          </w:tcPr>
          <w:p w14:paraId="278F167B">
            <w:pPr>
              <w:spacing w:before="131"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.7.2</w:t>
            </w:r>
          </w:p>
        </w:tc>
        <w:tc>
          <w:tcPr>
            <w:tcW w:w="7644" w:type="dxa"/>
            <w:tcBorders>
              <w:right w:val="single" w:color="000000" w:sz="6" w:space="0"/>
            </w:tcBorders>
            <w:vAlign w:val="top"/>
          </w:tcPr>
          <w:p w14:paraId="36CCE454">
            <w:pPr>
              <w:spacing w:before="141" w:line="228" w:lineRule="auto"/>
              <w:ind w:left="347"/>
              <w:rPr>
                <w:rFonts w:ascii="宋体" w:hAnsi="宋体" w:eastAsia="宋体" w:cs="宋体"/>
                <w:sz w:val="20"/>
                <w:szCs w:val="20"/>
                <w:highlight w:val="none"/>
              </w:rPr>
            </w:pPr>
            <w:r>
              <w:rPr>
                <w:rFonts w:ascii="宋体" w:hAnsi="宋体" w:eastAsia="宋体" w:cs="宋体"/>
                <w:spacing w:val="6"/>
                <w:sz w:val="20"/>
                <w:szCs w:val="20"/>
                <w:highlight w:val="none"/>
              </w:rPr>
              <w:t>来往函件送达的期限：</w:t>
            </w:r>
            <w:r>
              <w:rPr>
                <w:rFonts w:ascii="宋体" w:hAnsi="宋体" w:eastAsia="宋体" w:cs="宋体"/>
                <w:spacing w:val="6"/>
                <w:sz w:val="20"/>
                <w:szCs w:val="20"/>
                <w:highlight w:val="none"/>
                <w:u w:val="single" w:color="auto"/>
              </w:rPr>
              <w:t xml:space="preserve"> 函件发出 </w:t>
            </w:r>
            <w:r>
              <w:rPr>
                <w:rFonts w:ascii="Times New Roman" w:hAnsi="Times New Roman" w:eastAsia="Times New Roman" w:cs="Times New Roman"/>
                <w:spacing w:val="6"/>
                <w:sz w:val="20"/>
                <w:szCs w:val="20"/>
                <w:highlight w:val="none"/>
                <w:u w:val="single" w:color="auto"/>
              </w:rPr>
              <w:t xml:space="preserve">24 </w:t>
            </w:r>
            <w:r>
              <w:rPr>
                <w:rFonts w:ascii="宋体" w:hAnsi="宋体" w:eastAsia="宋体" w:cs="宋体"/>
                <w:spacing w:val="6"/>
                <w:sz w:val="20"/>
                <w:szCs w:val="20"/>
                <w:highlight w:val="none"/>
                <w:u w:val="single" w:color="auto"/>
              </w:rPr>
              <w:t>小时</w:t>
            </w:r>
            <w:r>
              <w:rPr>
                <w:rFonts w:ascii="宋体" w:hAnsi="宋体" w:eastAsia="宋体" w:cs="宋体"/>
                <w:spacing w:val="3"/>
                <w:sz w:val="20"/>
                <w:szCs w:val="20"/>
                <w:highlight w:val="none"/>
                <w:u w:val="single" w:color="auto"/>
              </w:rPr>
              <w:t>内</w:t>
            </w:r>
            <w:r>
              <w:rPr>
                <w:rFonts w:ascii="宋体" w:hAnsi="宋体" w:eastAsia="宋体" w:cs="宋体"/>
                <w:sz w:val="20"/>
                <w:szCs w:val="20"/>
                <w:highlight w:val="none"/>
                <w:u w:val="single" w:color="auto"/>
              </w:rPr>
              <w:t xml:space="preserve"> </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6CB55419">
            <w:pPr>
              <w:spacing w:before="135" w:line="192" w:lineRule="auto"/>
              <w:ind w:left="21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1113" w:type="dxa"/>
            <w:vAlign w:val="top"/>
          </w:tcPr>
          <w:p w14:paraId="28CFF5B6">
            <w:pPr>
              <w:spacing w:before="132" w:line="198" w:lineRule="auto"/>
              <w:ind w:left="42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w:t>
            </w:r>
          </w:p>
        </w:tc>
        <w:tc>
          <w:tcPr>
            <w:tcW w:w="7644" w:type="dxa"/>
            <w:tcBorders>
              <w:right w:val="single" w:color="000000" w:sz="6" w:space="0"/>
            </w:tcBorders>
            <w:vAlign w:val="top"/>
          </w:tcPr>
          <w:p w14:paraId="6F4CC32F">
            <w:pPr>
              <w:spacing w:before="142"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本工程资金来源</w:t>
            </w:r>
            <w:r>
              <w:rPr>
                <w:rFonts w:hint="eastAsia" w:ascii="宋体" w:hAnsi="宋体" w:eastAsia="宋体" w:cs="宋体"/>
                <w:spacing w:val="9"/>
                <w:sz w:val="20"/>
                <w:szCs w:val="20"/>
                <w:highlight w:val="none"/>
              </w:rPr>
              <w:t>省以上投资</w:t>
            </w:r>
            <w:r>
              <w:rPr>
                <w:rFonts w:ascii="宋体" w:hAnsi="宋体" w:eastAsia="宋体" w:cs="宋体"/>
                <w:spacing w:val="9"/>
                <w:sz w:val="20"/>
                <w:szCs w:val="20"/>
                <w:highlight w:val="none"/>
              </w:rPr>
              <w:t>和地方政府配套资金</w:t>
            </w:r>
            <w:r>
              <w:rPr>
                <w:rFonts w:ascii="宋体" w:hAnsi="宋体" w:eastAsia="宋体" w:cs="宋体"/>
                <w:spacing w:val="8"/>
                <w:sz w:val="20"/>
                <w:szCs w:val="20"/>
                <w:highlight w:val="none"/>
              </w:rPr>
              <w:t>。</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56B48C28">
            <w:pPr>
              <w:spacing w:line="272" w:lineRule="auto"/>
              <w:rPr>
                <w:rFonts w:ascii="Arial"/>
                <w:sz w:val="21"/>
                <w:highlight w:val="none"/>
              </w:rPr>
            </w:pPr>
          </w:p>
          <w:p w14:paraId="3FE9BAE0">
            <w:pPr>
              <w:spacing w:before="58" w:line="195" w:lineRule="auto"/>
              <w:ind w:left="21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1113" w:type="dxa"/>
            <w:vAlign w:val="top"/>
          </w:tcPr>
          <w:p w14:paraId="1DC412F4">
            <w:pPr>
              <w:spacing w:line="273" w:lineRule="auto"/>
              <w:rPr>
                <w:rFonts w:ascii="Arial"/>
                <w:sz w:val="21"/>
                <w:highlight w:val="none"/>
              </w:rPr>
            </w:pPr>
          </w:p>
          <w:p w14:paraId="0B69FE96">
            <w:pPr>
              <w:spacing w:before="57" w:line="195" w:lineRule="auto"/>
              <w:ind w:left="346"/>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3.1.1</w:t>
            </w:r>
          </w:p>
        </w:tc>
        <w:tc>
          <w:tcPr>
            <w:tcW w:w="7644" w:type="dxa"/>
            <w:tcBorders>
              <w:right w:val="single" w:color="000000" w:sz="6" w:space="0"/>
            </w:tcBorders>
            <w:vAlign w:val="top"/>
          </w:tcPr>
          <w:p w14:paraId="66312A43">
            <w:pPr>
              <w:spacing w:before="139" w:line="228"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监</w:t>
            </w:r>
            <w:r>
              <w:rPr>
                <w:rFonts w:ascii="宋体" w:hAnsi="宋体" w:eastAsia="宋体" w:cs="宋体"/>
                <w:spacing w:val="9"/>
                <w:sz w:val="20"/>
                <w:szCs w:val="20"/>
                <w:highlight w:val="none"/>
              </w:rPr>
              <w:t>理人在行使下列权力前需要经发包人事先批准：</w:t>
            </w:r>
          </w:p>
          <w:p w14:paraId="792129D8">
            <w:pPr>
              <w:spacing w:before="153" w:line="228" w:lineRule="auto"/>
              <w:ind w:left="316"/>
              <w:rPr>
                <w:rFonts w:ascii="宋体" w:hAnsi="宋体" w:eastAsia="宋体" w:cs="宋体"/>
                <w:sz w:val="20"/>
                <w:szCs w:val="20"/>
                <w:highlight w:val="none"/>
              </w:rPr>
            </w:pPr>
            <w:r>
              <w:rPr>
                <w:rFonts w:ascii="宋体" w:hAnsi="宋体" w:eastAsia="宋体" w:cs="宋体"/>
                <w:spacing w:val="8"/>
                <w:sz w:val="20"/>
                <w:szCs w:val="20"/>
                <w:highlight w:val="none"/>
              </w:rPr>
              <w:t>(</w:t>
            </w:r>
            <w:r>
              <w:rPr>
                <w:rFonts w:ascii="Times New Roman" w:hAnsi="Times New Roman" w:eastAsia="Times New Roman" w:cs="Times New Roman"/>
                <w:spacing w:val="8"/>
                <w:sz w:val="20"/>
                <w:szCs w:val="20"/>
                <w:highlight w:val="none"/>
              </w:rPr>
              <w:t>6</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 xml:space="preserve"> 监理人在行使根据第 </w:t>
            </w:r>
            <w:r>
              <w:rPr>
                <w:rFonts w:ascii="Times New Roman" w:hAnsi="Times New Roman" w:eastAsia="Times New Roman" w:cs="Times New Roman"/>
                <w:spacing w:val="4"/>
                <w:sz w:val="20"/>
                <w:szCs w:val="20"/>
                <w:highlight w:val="none"/>
              </w:rPr>
              <w:t xml:space="preserve">15.3 </w:t>
            </w:r>
            <w:r>
              <w:rPr>
                <w:rFonts w:ascii="宋体" w:hAnsi="宋体" w:eastAsia="宋体" w:cs="宋体"/>
                <w:spacing w:val="4"/>
                <w:sz w:val="20"/>
                <w:szCs w:val="20"/>
                <w:highlight w:val="none"/>
              </w:rPr>
              <w:t>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3666279F">
            <w:pPr>
              <w:spacing w:line="335" w:lineRule="auto"/>
              <w:rPr>
                <w:rFonts w:ascii="Arial"/>
                <w:sz w:val="21"/>
                <w:highlight w:val="none"/>
              </w:rPr>
            </w:pPr>
          </w:p>
          <w:p w14:paraId="3B94FEF6">
            <w:pPr>
              <w:spacing w:line="335" w:lineRule="auto"/>
              <w:rPr>
                <w:rFonts w:ascii="Arial"/>
                <w:sz w:val="21"/>
                <w:highlight w:val="none"/>
              </w:rPr>
            </w:pPr>
          </w:p>
          <w:p w14:paraId="02BB40B2">
            <w:pPr>
              <w:spacing w:before="57"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1113" w:type="dxa"/>
            <w:vAlign w:val="top"/>
          </w:tcPr>
          <w:p w14:paraId="0BC08550">
            <w:pPr>
              <w:spacing w:line="313" w:lineRule="auto"/>
              <w:rPr>
                <w:rFonts w:ascii="Arial"/>
                <w:sz w:val="21"/>
                <w:highlight w:val="none"/>
              </w:rPr>
            </w:pPr>
          </w:p>
          <w:p w14:paraId="316D015B">
            <w:pPr>
              <w:spacing w:line="313" w:lineRule="auto"/>
              <w:rPr>
                <w:rFonts w:ascii="Arial"/>
                <w:sz w:val="21"/>
                <w:highlight w:val="none"/>
              </w:rPr>
            </w:pPr>
          </w:p>
          <w:p w14:paraId="4D384DB2">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1</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03D484E2">
            <w:pPr>
              <w:spacing w:before="142" w:line="369" w:lineRule="auto"/>
              <w:ind w:left="107" w:right="99" w:firstLine="219"/>
              <w:rPr>
                <w:rFonts w:ascii="宋体" w:hAnsi="宋体" w:eastAsia="宋体" w:cs="宋体"/>
                <w:sz w:val="20"/>
                <w:szCs w:val="20"/>
                <w:highlight w:val="none"/>
              </w:rPr>
            </w:pPr>
            <w:r>
              <w:rPr>
                <w:rFonts w:ascii="宋体" w:hAnsi="宋体" w:eastAsia="宋体" w:cs="宋体"/>
                <w:spacing w:val="8"/>
                <w:sz w:val="20"/>
                <w:szCs w:val="20"/>
                <w:highlight w:val="none"/>
              </w:rPr>
              <w:t>临</w:t>
            </w:r>
            <w:r>
              <w:rPr>
                <w:rFonts w:ascii="宋体" w:hAnsi="宋体" w:eastAsia="宋体" w:cs="宋体"/>
                <w:spacing w:val="4"/>
                <w:sz w:val="20"/>
                <w:szCs w:val="20"/>
                <w:highlight w:val="none"/>
              </w:rPr>
              <w:t xml:space="preserve">时占地的租地费用实行总额包干，列入工程量清单第 </w:t>
            </w:r>
            <w:r>
              <w:rPr>
                <w:rFonts w:ascii="Times New Roman" w:hAnsi="Times New Roman" w:eastAsia="Times New Roman" w:cs="Times New Roman"/>
                <w:spacing w:val="4"/>
                <w:sz w:val="20"/>
                <w:szCs w:val="20"/>
                <w:highlight w:val="none"/>
              </w:rPr>
              <w:t xml:space="preserve">100 </w:t>
            </w:r>
            <w:r>
              <w:rPr>
                <w:rFonts w:ascii="宋体" w:hAnsi="宋体" w:eastAsia="宋体" w:cs="宋体"/>
                <w:spacing w:val="4"/>
                <w:sz w:val="20"/>
                <w:szCs w:val="20"/>
                <w:highlight w:val="none"/>
              </w:rPr>
              <w:t>章中由承包人按总额</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报价。</w:t>
            </w:r>
            <w:r>
              <w:rPr>
                <w:rFonts w:ascii="宋体" w:hAnsi="宋体" w:eastAsia="宋体" w:cs="宋体"/>
                <w:spacing w:val="3"/>
                <w:sz w:val="20"/>
                <w:szCs w:val="20"/>
                <w:highlight w:val="none"/>
              </w:rPr>
              <w:t>临时占地费用计算方式：</w:t>
            </w:r>
            <w:r>
              <w:rPr>
                <w:rFonts w:ascii="宋体" w:hAnsi="宋体" w:eastAsia="宋体" w:cs="宋体"/>
                <w:spacing w:val="3"/>
                <w:sz w:val="20"/>
                <w:szCs w:val="20"/>
                <w:highlight w:val="none"/>
                <w:u w:val="single" w:color="auto"/>
              </w:rPr>
              <w:t xml:space="preserve">  参考《关于实施征地区片综合地价的通知》  (辽</w:t>
            </w:r>
            <w:r>
              <w:rPr>
                <w:rFonts w:ascii="宋体" w:hAnsi="宋体" w:eastAsia="宋体" w:cs="宋体"/>
                <w:sz w:val="20"/>
                <w:szCs w:val="20"/>
                <w:highlight w:val="none"/>
              </w:rPr>
              <w:t xml:space="preserve"> </w:t>
            </w:r>
            <w:r>
              <w:rPr>
                <w:rFonts w:ascii="宋体" w:hAnsi="宋体" w:eastAsia="宋体" w:cs="宋体"/>
                <w:spacing w:val="12"/>
                <w:sz w:val="20"/>
                <w:szCs w:val="20"/>
                <w:highlight w:val="none"/>
                <w:u w:val="single" w:color="auto"/>
              </w:rPr>
              <w:t>国土资发〔</w:t>
            </w:r>
            <w:r>
              <w:rPr>
                <w:rFonts w:ascii="Times New Roman" w:hAnsi="Times New Roman" w:eastAsia="Times New Roman" w:cs="Times New Roman"/>
                <w:spacing w:val="6"/>
                <w:sz w:val="20"/>
                <w:szCs w:val="20"/>
                <w:highlight w:val="none"/>
                <w:u w:val="single" w:color="auto"/>
              </w:rPr>
              <w:t>2015</w:t>
            </w:r>
            <w:r>
              <w:rPr>
                <w:rFonts w:ascii="宋体" w:hAnsi="宋体" w:eastAsia="宋体" w:cs="宋体"/>
                <w:spacing w:val="6"/>
                <w:sz w:val="20"/>
                <w:szCs w:val="20"/>
                <w:highlight w:val="none"/>
                <w:u w:val="single" w:color="auto"/>
              </w:rPr>
              <w:t>〕</w:t>
            </w:r>
            <w:r>
              <w:rPr>
                <w:rFonts w:ascii="Times New Roman" w:hAnsi="Times New Roman" w:eastAsia="Times New Roman" w:cs="Times New Roman"/>
                <w:spacing w:val="6"/>
                <w:sz w:val="20"/>
                <w:szCs w:val="20"/>
                <w:highlight w:val="none"/>
                <w:u w:val="single" w:color="auto"/>
              </w:rPr>
              <w:t xml:space="preserve">339 </w:t>
            </w:r>
            <w:r>
              <w:rPr>
                <w:rFonts w:ascii="宋体" w:hAnsi="宋体" w:eastAsia="宋体" w:cs="宋体"/>
                <w:spacing w:val="6"/>
                <w:sz w:val="20"/>
                <w:szCs w:val="20"/>
                <w:highlight w:val="none"/>
                <w:u w:val="single" w:color="auto"/>
              </w:rPr>
              <w:t>号) 以及项目所在地市县区政府公布的区片综合地价标准进</w:t>
            </w:r>
          </w:p>
          <w:p w14:paraId="58428753">
            <w:pPr>
              <w:spacing w:line="227" w:lineRule="auto"/>
              <w:ind w:left="112"/>
              <w:rPr>
                <w:rFonts w:ascii="宋体" w:hAnsi="宋体" w:eastAsia="宋体" w:cs="宋体"/>
                <w:sz w:val="20"/>
                <w:szCs w:val="20"/>
                <w:highlight w:val="none"/>
              </w:rPr>
            </w:pPr>
            <w:r>
              <w:rPr>
                <w:rFonts w:ascii="宋体" w:hAnsi="宋体" w:eastAsia="宋体" w:cs="宋体"/>
                <w:spacing w:val="2"/>
                <w:sz w:val="20"/>
                <w:szCs w:val="20"/>
                <w:highlight w:val="none"/>
                <w:u w:val="single" w:color="auto"/>
              </w:rPr>
              <w:t>行测算</w:t>
            </w:r>
            <w:r>
              <w:rPr>
                <w:rFonts w:ascii="宋体" w:hAnsi="宋体" w:eastAsia="宋体" w:cs="宋体"/>
                <w:spacing w:val="1"/>
                <w:sz w:val="20"/>
                <w:szCs w:val="20"/>
                <w:highlight w:val="none"/>
                <w:u w:val="single" w:color="auto"/>
              </w:rPr>
              <w:t>。</w:t>
            </w:r>
            <w:r>
              <w:rPr>
                <w:rFonts w:ascii="宋体" w:hAnsi="宋体" w:eastAsia="宋体" w:cs="宋体"/>
                <w:sz w:val="20"/>
                <w:szCs w:val="20"/>
                <w:highlight w:val="none"/>
                <w:u w:val="single" w:color="auto"/>
              </w:rPr>
              <w:t xml:space="preserve">   </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vAlign w:val="top"/>
          </w:tcPr>
          <w:p w14:paraId="4BC823E1">
            <w:pPr>
              <w:spacing w:line="253" w:lineRule="auto"/>
              <w:rPr>
                <w:rFonts w:ascii="Arial"/>
                <w:sz w:val="21"/>
                <w:highlight w:val="none"/>
              </w:rPr>
            </w:pPr>
          </w:p>
          <w:p w14:paraId="0D0CAA48">
            <w:pPr>
              <w:spacing w:line="253" w:lineRule="auto"/>
              <w:rPr>
                <w:rFonts w:ascii="Arial"/>
                <w:sz w:val="21"/>
                <w:highlight w:val="none"/>
              </w:rPr>
            </w:pPr>
          </w:p>
          <w:p w14:paraId="21153CE7">
            <w:pPr>
              <w:spacing w:line="254" w:lineRule="auto"/>
              <w:rPr>
                <w:rFonts w:ascii="Arial"/>
                <w:sz w:val="21"/>
                <w:highlight w:val="none"/>
              </w:rPr>
            </w:pPr>
          </w:p>
          <w:p w14:paraId="45E2C6EA">
            <w:pPr>
              <w:spacing w:line="254" w:lineRule="auto"/>
              <w:rPr>
                <w:rFonts w:ascii="Arial"/>
                <w:sz w:val="21"/>
                <w:highlight w:val="none"/>
              </w:rPr>
            </w:pPr>
          </w:p>
          <w:p w14:paraId="1E34709A">
            <w:pPr>
              <w:spacing w:line="254" w:lineRule="auto"/>
              <w:rPr>
                <w:rFonts w:ascii="Arial"/>
                <w:sz w:val="21"/>
                <w:highlight w:val="none"/>
              </w:rPr>
            </w:pPr>
          </w:p>
          <w:p w14:paraId="57D928A1">
            <w:pPr>
              <w:spacing w:before="57" w:line="195" w:lineRule="auto"/>
              <w:ind w:left="176"/>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0</w:t>
            </w:r>
          </w:p>
        </w:tc>
        <w:tc>
          <w:tcPr>
            <w:tcW w:w="1113" w:type="dxa"/>
            <w:vAlign w:val="top"/>
          </w:tcPr>
          <w:p w14:paraId="6FCB61EE">
            <w:pPr>
              <w:spacing w:line="244" w:lineRule="auto"/>
              <w:rPr>
                <w:rFonts w:ascii="Arial"/>
                <w:sz w:val="21"/>
                <w:highlight w:val="none"/>
              </w:rPr>
            </w:pPr>
          </w:p>
          <w:p w14:paraId="14A853B5">
            <w:pPr>
              <w:spacing w:line="244" w:lineRule="auto"/>
              <w:rPr>
                <w:rFonts w:ascii="Arial"/>
                <w:sz w:val="21"/>
                <w:highlight w:val="none"/>
              </w:rPr>
            </w:pPr>
          </w:p>
          <w:p w14:paraId="7CF2CD7E">
            <w:pPr>
              <w:spacing w:line="244" w:lineRule="auto"/>
              <w:rPr>
                <w:rFonts w:ascii="Arial"/>
                <w:sz w:val="21"/>
                <w:highlight w:val="none"/>
              </w:rPr>
            </w:pPr>
          </w:p>
          <w:p w14:paraId="32745D10">
            <w:pPr>
              <w:spacing w:line="245" w:lineRule="auto"/>
              <w:rPr>
                <w:rFonts w:ascii="Arial"/>
                <w:sz w:val="21"/>
                <w:highlight w:val="none"/>
              </w:rPr>
            </w:pPr>
          </w:p>
          <w:p w14:paraId="26474E51">
            <w:pPr>
              <w:spacing w:line="245" w:lineRule="auto"/>
              <w:rPr>
                <w:rFonts w:ascii="Arial"/>
                <w:sz w:val="21"/>
                <w:highlight w:val="none"/>
              </w:rPr>
            </w:pPr>
          </w:p>
          <w:p w14:paraId="2637097A">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3</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4993F056">
            <w:pPr>
              <w:spacing w:before="144" w:line="369" w:lineRule="auto"/>
              <w:ind w:left="110" w:right="14" w:firstLine="205"/>
              <w:rPr>
                <w:rFonts w:ascii="宋体" w:hAnsi="宋体" w:eastAsia="宋体" w:cs="宋体"/>
                <w:sz w:val="20"/>
                <w:szCs w:val="20"/>
                <w:highlight w:val="none"/>
              </w:rPr>
            </w:pPr>
            <w:r>
              <w:rPr>
                <w:rFonts w:ascii="宋体" w:hAnsi="宋体" w:eastAsia="宋体" w:cs="宋体"/>
                <w:spacing w:val="6"/>
                <w:sz w:val="20"/>
                <w:szCs w:val="20"/>
                <w:highlight w:val="none"/>
              </w:rPr>
              <w:t>承包人</w:t>
            </w:r>
            <w:r>
              <w:rPr>
                <w:rFonts w:ascii="宋体" w:hAnsi="宋体" w:eastAsia="宋体" w:cs="宋体"/>
                <w:spacing w:val="3"/>
                <w:sz w:val="20"/>
                <w:szCs w:val="20"/>
                <w:highlight w:val="none"/>
              </w:rPr>
              <w:t>对于农民工工资的发放应严格遵守《保障农民工工资支付条例》  (国务院</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 xml:space="preserve">令第 </w:t>
            </w:r>
            <w:r>
              <w:rPr>
                <w:rFonts w:ascii="Times New Roman" w:hAnsi="Times New Roman" w:eastAsia="Times New Roman" w:cs="Times New Roman"/>
                <w:spacing w:val="1"/>
                <w:sz w:val="20"/>
                <w:szCs w:val="20"/>
                <w:highlight w:val="none"/>
              </w:rPr>
              <w:t xml:space="preserve">724 </w:t>
            </w:r>
            <w:r>
              <w:rPr>
                <w:rFonts w:ascii="宋体" w:hAnsi="宋体" w:eastAsia="宋体" w:cs="宋体"/>
                <w:spacing w:val="1"/>
                <w:sz w:val="20"/>
                <w:szCs w:val="20"/>
                <w:highlight w:val="none"/>
              </w:rPr>
              <w:t>号</w:t>
            </w:r>
            <w:r>
              <w:rPr>
                <w:rFonts w:ascii="宋体" w:hAnsi="宋体" w:eastAsia="宋体" w:cs="宋体"/>
                <w:sz w:val="20"/>
                <w:szCs w:val="20"/>
                <w:highlight w:val="none"/>
              </w:rPr>
              <w:t>) 、《工程建设领域农民工工资保证金规定》 (人社部发〔</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 xml:space="preserve">65 </w:t>
            </w:r>
            <w:r>
              <w:rPr>
                <w:rFonts w:ascii="宋体" w:hAnsi="宋体" w:eastAsia="宋体" w:cs="宋体"/>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3"/>
                <w:sz w:val="20"/>
                <w:szCs w:val="20"/>
                <w:highlight w:val="none"/>
              </w:rPr>
              <w:t>辽宁省公路水运工程建设领域农民工工资支付管理办法》 (辽交公水规〔</w:t>
            </w:r>
            <w:r>
              <w:rPr>
                <w:rFonts w:ascii="Times New Roman" w:hAnsi="Times New Roman" w:eastAsia="Times New Roman" w:cs="Times New Roman"/>
                <w:spacing w:val="3"/>
                <w:sz w:val="20"/>
                <w:szCs w:val="20"/>
                <w:highlight w:val="none"/>
              </w:rPr>
              <w:t>2020</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8"/>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《辽宁省建设领域农民工工资支付管理办法》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《关于建</w:t>
            </w:r>
            <w:r>
              <w:rPr>
                <w:rFonts w:ascii="宋体" w:hAnsi="宋体" w:eastAsia="宋体" w:cs="宋体"/>
                <w:spacing w:val="7"/>
                <w:sz w:val="20"/>
                <w:szCs w:val="20"/>
                <w:highlight w:val="none"/>
              </w:rPr>
              <w:t>立</w:t>
            </w:r>
            <w:r>
              <w:rPr>
                <w:rFonts w:ascii="宋体" w:hAnsi="宋体" w:eastAsia="宋体" w:cs="宋体"/>
                <w:spacing w:val="4"/>
                <w:sz w:val="20"/>
                <w:szCs w:val="20"/>
                <w:highlight w:val="none"/>
              </w:rPr>
              <w:t>建设领域农民工工资保证金制度的通知》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4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《辽宁省工程建设领域农民</w:t>
            </w:r>
            <w:r>
              <w:rPr>
                <w:rFonts w:ascii="宋体" w:hAnsi="宋体" w:eastAsia="宋体" w:cs="宋体"/>
                <w:sz w:val="20"/>
                <w:szCs w:val="20"/>
                <w:highlight w:val="none"/>
              </w:rPr>
              <w:t>工工资专用账户管理暂行办法实施细则》(辽人社〔</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p>
          <w:p w14:paraId="5685124E">
            <w:pPr>
              <w:spacing w:before="138" w:line="228" w:lineRule="auto"/>
              <w:ind w:left="114"/>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3</w:t>
            </w:r>
            <w:r>
              <w:rPr>
                <w:rFonts w:ascii="Times New Roman" w:hAnsi="Times New Roman" w:eastAsia="Times New Roman" w:cs="Times New Roman"/>
                <w:spacing w:val="6"/>
                <w:sz w:val="20"/>
                <w:szCs w:val="20"/>
                <w:highlight w:val="none"/>
              </w:rPr>
              <w:t>1</w:t>
            </w:r>
            <w:r>
              <w:rPr>
                <w:rFonts w:ascii="Times New Roman" w:hAnsi="Times New Roman" w:eastAsia="Times New Roman" w:cs="Times New Roman"/>
                <w:spacing w:val="4"/>
                <w:sz w:val="20"/>
                <w:szCs w:val="20"/>
                <w:highlight w:val="none"/>
              </w:rPr>
              <w:t xml:space="preserve"> </w:t>
            </w:r>
            <w:r>
              <w:rPr>
                <w:rFonts w:ascii="宋体" w:hAnsi="宋体" w:eastAsia="宋体" w:cs="宋体"/>
                <w:spacing w:val="4"/>
                <w:sz w:val="20"/>
                <w:szCs w:val="20"/>
                <w:highlight w:val="none"/>
              </w:rPr>
              <w:t>号) 、《辽宁省工程建设领域农民工工资保证金实施办法》  (辽人社〔</w:t>
            </w:r>
            <w:r>
              <w:rPr>
                <w:rFonts w:ascii="Times New Roman" w:hAnsi="Times New Roman" w:eastAsia="Times New Roman" w:cs="Times New Roman"/>
                <w:spacing w:val="4"/>
                <w:sz w:val="20"/>
                <w:szCs w:val="20"/>
                <w:highlight w:val="none"/>
              </w:rPr>
              <w:t>2022</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5</w:t>
            </w:r>
            <w:r>
              <w:rPr>
                <w:rFonts w:ascii="宋体" w:hAnsi="宋体" w:eastAsia="宋体" w:cs="宋体"/>
                <w:spacing w:val="10"/>
                <w:sz w:val="20"/>
                <w:szCs w:val="20"/>
                <w:highlight w:val="none"/>
              </w:rPr>
              <w:t>号</w:t>
            </w:r>
            <w:r>
              <w:rPr>
                <w:rFonts w:ascii="宋体" w:hAnsi="宋体" w:eastAsia="宋体" w:cs="宋体"/>
                <w:spacing w:val="7"/>
                <w:sz w:val="20"/>
                <w:szCs w:val="20"/>
                <w:highlight w:val="none"/>
              </w:rPr>
              <w:t>)</w:t>
            </w:r>
            <w:r>
              <w:rPr>
                <w:rFonts w:ascii="宋体" w:hAnsi="宋体" w:eastAsia="宋体" w:cs="宋体"/>
                <w:spacing w:val="5"/>
                <w:sz w:val="20"/>
                <w:szCs w:val="20"/>
                <w:highlight w:val="none"/>
              </w:rPr>
              <w:t xml:space="preserve"> 等国家和项目所在省、市相关主管部门施行的规定，主要包括：</w:t>
            </w:r>
          </w:p>
          <w:p w14:paraId="72734DA9">
            <w:pPr>
              <w:spacing w:before="152" w:line="369" w:lineRule="auto"/>
              <w:ind w:left="113" w:right="99" w:firstLine="201"/>
              <w:rPr>
                <w:rFonts w:ascii="宋体" w:hAnsi="宋体" w:eastAsia="宋体" w:cs="宋体"/>
                <w:sz w:val="20"/>
                <w:szCs w:val="20"/>
                <w:highlight w:val="none"/>
              </w:rPr>
            </w:pPr>
            <w:r>
              <w:rPr>
                <w:rFonts w:ascii="Times New Roman" w:hAnsi="Times New Roman" w:eastAsia="Times New Roman" w:cs="Times New Roman"/>
                <w:sz w:val="20"/>
                <w:szCs w:val="20"/>
                <w:highlight w:val="none"/>
              </w:rPr>
              <w:t>a</w:t>
            </w:r>
            <w:r>
              <w:rPr>
                <w:rFonts w:ascii="宋体" w:hAnsi="宋体" w:eastAsia="宋体" w:cs="宋体"/>
                <w:spacing w:val="6"/>
                <w:sz w:val="20"/>
                <w:szCs w:val="20"/>
                <w:highlight w:val="none"/>
              </w:rPr>
              <w:t>、承包人 (</w:t>
            </w:r>
            <w:r>
              <w:rPr>
                <w:rFonts w:ascii="宋体" w:hAnsi="宋体" w:eastAsia="宋体" w:cs="宋体"/>
                <w:spacing w:val="4"/>
                <w:sz w:val="20"/>
                <w:szCs w:val="20"/>
                <w:highlight w:val="none"/>
              </w:rPr>
              <w:t>包</w:t>
            </w:r>
            <w:r>
              <w:rPr>
                <w:rFonts w:ascii="宋体" w:hAnsi="宋体" w:eastAsia="宋体" w:cs="宋体"/>
                <w:spacing w:val="3"/>
                <w:sz w:val="20"/>
                <w:szCs w:val="20"/>
                <w:highlight w:val="none"/>
              </w:rPr>
              <w:t>括其分包人) 应实行农民工劳动用工实名制管理，与招用的农民工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书</w:t>
            </w:r>
            <w:r>
              <w:rPr>
                <w:rFonts w:ascii="宋体" w:hAnsi="宋体" w:eastAsia="宋体" w:cs="宋体"/>
                <w:spacing w:val="6"/>
                <w:sz w:val="20"/>
                <w:szCs w:val="20"/>
                <w:highlight w:val="none"/>
              </w:rPr>
              <w:t>面约定或者通过依法制定的规章制度规定工资支付标准、支付时间、支付方式等</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内容。承包人</w:t>
            </w:r>
            <w:r>
              <w:rPr>
                <w:rFonts w:ascii="宋体" w:hAnsi="宋体" w:eastAsia="宋体" w:cs="宋体"/>
                <w:spacing w:val="5"/>
                <w:sz w:val="20"/>
                <w:szCs w:val="20"/>
                <w:highlight w:val="none"/>
              </w:rPr>
              <w:t xml:space="preserve"> (包括其分包人) 应按照与农民工订立的劳动合同中约定的工资支付</w:t>
            </w:r>
          </w:p>
          <w:p w14:paraId="3C5D6E23">
            <w:pPr>
              <w:spacing w:line="225" w:lineRule="auto"/>
              <w:ind w:left="110"/>
              <w:rPr>
                <w:rFonts w:ascii="宋体" w:hAnsi="宋体" w:eastAsia="宋体" w:cs="宋体"/>
                <w:sz w:val="20"/>
                <w:szCs w:val="20"/>
                <w:highlight w:val="none"/>
              </w:rPr>
            </w:pPr>
            <w:r>
              <w:rPr>
                <w:rFonts w:ascii="宋体" w:hAnsi="宋体" w:eastAsia="宋体" w:cs="宋体"/>
                <w:spacing w:val="9"/>
                <w:sz w:val="20"/>
                <w:szCs w:val="20"/>
                <w:highlight w:val="none"/>
              </w:rPr>
              <w:t>周</w:t>
            </w:r>
            <w:r>
              <w:rPr>
                <w:rFonts w:ascii="宋体" w:hAnsi="宋体" w:eastAsia="宋体" w:cs="宋体"/>
                <w:spacing w:val="5"/>
                <w:sz w:val="20"/>
                <w:szCs w:val="20"/>
                <w:highlight w:val="none"/>
              </w:rPr>
              <w:t>期和具体支付日期足额支付工资。</w:t>
            </w:r>
          </w:p>
          <w:p w14:paraId="42E4813B">
            <w:pPr>
              <w:spacing w:before="118" w:line="380" w:lineRule="auto"/>
              <w:ind w:left="132" w:right="99" w:firstLine="174"/>
              <w:rPr>
                <w:rFonts w:ascii="宋体" w:hAnsi="宋体" w:eastAsia="宋体" w:cs="宋体"/>
                <w:sz w:val="20"/>
                <w:szCs w:val="20"/>
                <w:highlight w:val="none"/>
              </w:rPr>
            </w:pPr>
            <w:r>
              <w:rPr>
                <w:rFonts w:ascii="Times New Roman" w:hAnsi="Times New Roman" w:eastAsia="Times New Roman" w:cs="Times New Roman"/>
                <w:sz w:val="20"/>
                <w:szCs w:val="20"/>
                <w:highlight w:val="none"/>
              </w:rPr>
              <w:t>b</w:t>
            </w:r>
            <w:r>
              <w:rPr>
                <w:rFonts w:ascii="宋体" w:hAnsi="宋体" w:eastAsia="宋体" w:cs="宋体"/>
                <w:spacing w:val="6"/>
                <w:sz w:val="20"/>
                <w:szCs w:val="20"/>
                <w:highlight w:val="none"/>
              </w:rPr>
              <w:t>、农民工工资应</w:t>
            </w:r>
            <w:r>
              <w:rPr>
                <w:rFonts w:ascii="宋体" w:hAnsi="宋体" w:eastAsia="宋体" w:cs="宋体"/>
                <w:spacing w:val="3"/>
                <w:sz w:val="20"/>
                <w:szCs w:val="20"/>
                <w:highlight w:val="none"/>
              </w:rPr>
              <w:t>当以货币形式，通过银行转账或者现金支付给农民工本人，不得</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以实物或者有价证券等其他形式替代</w:t>
            </w:r>
            <w:r>
              <w:rPr>
                <w:rFonts w:ascii="宋体" w:hAnsi="宋体" w:eastAsia="宋体" w:cs="宋体"/>
                <w:spacing w:val="1"/>
                <w:sz w:val="20"/>
                <w:szCs w:val="20"/>
                <w:highlight w:val="none"/>
              </w:rPr>
              <w:t>。</w:t>
            </w:r>
          </w:p>
          <w:p w14:paraId="0BE2972A">
            <w:pPr>
              <w:spacing w:before="14" w:line="400" w:lineRule="exact"/>
              <w:ind w:left="314"/>
              <w:rPr>
                <w:rFonts w:ascii="宋体" w:hAnsi="宋体" w:eastAsia="宋体" w:cs="宋体"/>
                <w:sz w:val="20"/>
                <w:szCs w:val="20"/>
                <w:highlight w:val="none"/>
              </w:rPr>
            </w:pPr>
            <w:r>
              <w:rPr>
                <w:rFonts w:ascii="Times New Roman" w:hAnsi="Times New Roman" w:eastAsia="Times New Roman" w:cs="Times New Roman"/>
                <w:position w:val="17"/>
                <w:sz w:val="20"/>
                <w:szCs w:val="20"/>
                <w:highlight w:val="none"/>
              </w:rPr>
              <w:t>c</w:t>
            </w:r>
            <w:r>
              <w:rPr>
                <w:rFonts w:ascii="宋体" w:hAnsi="宋体" w:eastAsia="宋体" w:cs="宋体"/>
                <w:spacing w:val="6"/>
                <w:position w:val="17"/>
                <w:sz w:val="20"/>
                <w:szCs w:val="20"/>
                <w:highlight w:val="none"/>
              </w:rPr>
              <w:t>、承包人在每次申</w:t>
            </w:r>
            <w:r>
              <w:rPr>
                <w:rFonts w:ascii="宋体" w:hAnsi="宋体" w:eastAsia="宋体" w:cs="宋体"/>
                <w:spacing w:val="4"/>
                <w:position w:val="17"/>
                <w:sz w:val="20"/>
                <w:szCs w:val="20"/>
                <w:highlight w:val="none"/>
              </w:rPr>
              <w:t>报</w:t>
            </w:r>
            <w:r>
              <w:rPr>
                <w:rFonts w:ascii="宋体" w:hAnsi="宋体" w:eastAsia="宋体" w:cs="宋体"/>
                <w:spacing w:val="3"/>
                <w:position w:val="17"/>
                <w:sz w:val="20"/>
                <w:szCs w:val="20"/>
                <w:highlight w:val="none"/>
              </w:rPr>
              <w:t>计量支付时，应将农民工工资款单独列项，项目管理法人将</w:t>
            </w:r>
          </w:p>
          <w:p w14:paraId="68EE1D5B">
            <w:pPr>
              <w:spacing w:before="1" w:line="226" w:lineRule="auto"/>
              <w:ind w:left="111"/>
              <w:rPr>
                <w:rFonts w:ascii="宋体" w:hAnsi="宋体" w:eastAsia="宋体" w:cs="宋体"/>
                <w:sz w:val="20"/>
                <w:szCs w:val="20"/>
                <w:highlight w:val="none"/>
              </w:rPr>
            </w:pPr>
            <w:r>
              <w:rPr>
                <w:rFonts w:ascii="宋体" w:hAnsi="宋体" w:eastAsia="宋体" w:cs="宋体"/>
                <w:spacing w:val="10"/>
                <w:sz w:val="20"/>
                <w:szCs w:val="20"/>
                <w:highlight w:val="none"/>
              </w:rPr>
              <w:t>按照经</w:t>
            </w:r>
            <w:r>
              <w:rPr>
                <w:rFonts w:ascii="宋体" w:hAnsi="宋体" w:eastAsia="宋体" w:cs="宋体"/>
                <w:spacing w:val="8"/>
                <w:sz w:val="20"/>
                <w:szCs w:val="20"/>
                <w:highlight w:val="none"/>
              </w:rPr>
              <w:t>审</w:t>
            </w:r>
            <w:r>
              <w:rPr>
                <w:rFonts w:ascii="宋体" w:hAnsi="宋体" w:eastAsia="宋体" w:cs="宋体"/>
                <w:spacing w:val="5"/>
                <w:sz w:val="20"/>
                <w:szCs w:val="20"/>
                <w:highlight w:val="none"/>
              </w:rPr>
              <w:t>核后的数额将农民工工资拨付至承包人的农民工工资专用账户。</w:t>
            </w:r>
          </w:p>
          <w:p w14:paraId="3802A743">
            <w:pPr>
              <w:spacing w:before="118" w:line="376" w:lineRule="auto"/>
              <w:ind w:left="109"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d</w:t>
            </w:r>
            <w:r>
              <w:rPr>
                <w:rFonts w:ascii="宋体" w:hAnsi="宋体" w:eastAsia="宋体" w:cs="宋体"/>
                <w:spacing w:val="2"/>
                <w:sz w:val="20"/>
                <w:szCs w:val="20"/>
                <w:highlight w:val="none"/>
              </w:rPr>
              <w:t xml:space="preserve">、承包人应当按照工资支付周期编制书面工资支付台账，并至少保存 </w:t>
            </w:r>
            <w:r>
              <w:rPr>
                <w:rFonts w:ascii="Times New Roman" w:hAnsi="Times New Roman" w:eastAsia="Times New Roman" w:cs="Times New Roman"/>
                <w:spacing w:val="2"/>
                <w:sz w:val="20"/>
                <w:szCs w:val="20"/>
                <w:highlight w:val="none"/>
              </w:rPr>
              <w:t xml:space="preserve">3 </w:t>
            </w:r>
            <w:r>
              <w:rPr>
                <w:rFonts w:ascii="宋体" w:hAnsi="宋体" w:eastAsia="宋体" w:cs="宋体"/>
                <w:spacing w:val="2"/>
                <w:sz w:val="20"/>
                <w:szCs w:val="20"/>
                <w:highlight w:val="none"/>
              </w:rPr>
              <w:t>年</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书面 </w:t>
            </w: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资</w:t>
            </w:r>
            <w:r>
              <w:rPr>
                <w:rFonts w:ascii="宋体" w:hAnsi="宋体" w:eastAsia="宋体" w:cs="宋体"/>
                <w:spacing w:val="6"/>
                <w:sz w:val="20"/>
                <w:szCs w:val="20"/>
                <w:highlight w:val="none"/>
              </w:rPr>
              <w:t>支付台账应当包括用人单位名称，支付周期，支付日期，支付对象姓名、身份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证</w:t>
            </w:r>
            <w:r>
              <w:rPr>
                <w:rFonts w:ascii="宋体" w:hAnsi="宋体" w:eastAsia="宋体" w:cs="宋体"/>
                <w:spacing w:val="8"/>
                <w:sz w:val="20"/>
                <w:szCs w:val="20"/>
                <w:highlight w:val="none"/>
              </w:rPr>
              <w:t>号</w:t>
            </w:r>
            <w:r>
              <w:rPr>
                <w:rFonts w:ascii="宋体" w:hAnsi="宋体" w:eastAsia="宋体" w:cs="宋体"/>
                <w:spacing w:val="6"/>
                <w:sz w:val="20"/>
                <w:szCs w:val="20"/>
                <w:highlight w:val="none"/>
              </w:rPr>
              <w:t>码、联系方式，工作时间，应发工资项目及数额，代扣、代缴、扣除项目和数</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额</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实发工资数额，银行代发工资凭证或者农民工签字等内容。用人单位向农民工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支付</w:t>
            </w:r>
            <w:r>
              <w:rPr>
                <w:rFonts w:ascii="宋体" w:hAnsi="宋体" w:eastAsia="宋体" w:cs="宋体"/>
                <w:spacing w:val="5"/>
                <w:sz w:val="20"/>
                <w:szCs w:val="20"/>
                <w:highlight w:val="none"/>
              </w:rPr>
              <w:t>工资时，应当提供农民工本人的工资清单。</w:t>
            </w:r>
          </w:p>
          <w:p w14:paraId="2973A984">
            <w:pPr>
              <w:spacing w:before="2" w:line="369" w:lineRule="auto"/>
              <w:ind w:left="110"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e</w:t>
            </w:r>
            <w:r>
              <w:rPr>
                <w:rFonts w:ascii="宋体" w:hAnsi="宋体" w:eastAsia="宋体" w:cs="宋体"/>
                <w:spacing w:val="5"/>
                <w:sz w:val="20"/>
                <w:szCs w:val="20"/>
                <w:highlight w:val="none"/>
              </w:rPr>
              <w:t xml:space="preserve">、承包人应分解工程价款中的人工费用，在本合同签订后 </w:t>
            </w:r>
            <w:r>
              <w:rPr>
                <w:rFonts w:ascii="Times New Roman" w:hAnsi="Times New Roman" w:eastAsia="Times New Roman" w:cs="Times New Roman"/>
                <w:spacing w:val="5"/>
                <w:sz w:val="20"/>
                <w:szCs w:val="20"/>
                <w:highlight w:val="none"/>
              </w:rPr>
              <w:t xml:space="preserve">15 </w:t>
            </w:r>
            <w:r>
              <w:rPr>
                <w:rFonts w:ascii="宋体" w:hAnsi="宋体" w:eastAsia="宋体" w:cs="宋体"/>
                <w:spacing w:val="5"/>
                <w:sz w:val="20"/>
                <w:szCs w:val="20"/>
                <w:highlight w:val="none"/>
              </w:rPr>
              <w:t>日内按照有关规</w:t>
            </w:r>
            <w:r>
              <w:rPr>
                <w:rFonts w:ascii="宋体" w:hAnsi="宋体" w:eastAsia="宋体" w:cs="宋体"/>
                <w:sz w:val="20"/>
                <w:szCs w:val="20"/>
                <w:highlight w:val="none"/>
              </w:rPr>
              <w:t xml:space="preserve">定 </w:t>
            </w:r>
            <w:r>
              <w:rPr>
                <w:rFonts w:ascii="宋体" w:hAnsi="宋体" w:eastAsia="宋体" w:cs="宋体"/>
                <w:spacing w:val="12"/>
                <w:sz w:val="20"/>
                <w:szCs w:val="20"/>
                <w:highlight w:val="none"/>
              </w:rPr>
              <w:t>开</w:t>
            </w:r>
            <w:r>
              <w:rPr>
                <w:rFonts w:ascii="宋体" w:hAnsi="宋体" w:eastAsia="宋体" w:cs="宋体"/>
                <w:spacing w:val="7"/>
                <w:sz w:val="20"/>
                <w:szCs w:val="20"/>
                <w:highlight w:val="none"/>
              </w:rPr>
              <w:t>设</w:t>
            </w:r>
            <w:r>
              <w:rPr>
                <w:rFonts w:ascii="宋体" w:hAnsi="宋体" w:eastAsia="宋体" w:cs="宋体"/>
                <w:spacing w:val="6"/>
                <w:sz w:val="20"/>
                <w:szCs w:val="20"/>
                <w:highlight w:val="none"/>
              </w:rPr>
              <w:t>农民工工资专用账户，专项用于支付本工程项目的农民工工资。开设、使用农</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民</w:t>
            </w:r>
            <w:r>
              <w:rPr>
                <w:rFonts w:ascii="宋体" w:hAnsi="宋体" w:eastAsia="宋体" w:cs="宋体"/>
                <w:spacing w:val="7"/>
                <w:sz w:val="20"/>
                <w:szCs w:val="20"/>
                <w:highlight w:val="none"/>
              </w:rPr>
              <w:t>工</w:t>
            </w:r>
            <w:r>
              <w:rPr>
                <w:rFonts w:ascii="宋体" w:hAnsi="宋体" w:eastAsia="宋体" w:cs="宋体"/>
                <w:spacing w:val="6"/>
                <w:sz w:val="20"/>
                <w:szCs w:val="20"/>
                <w:highlight w:val="none"/>
              </w:rPr>
              <w:t>工资专用账户有关资料应当由承包人妥善保存备查。工程完工且未拖欠农民工</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工资的，承包人公示 </w:t>
            </w:r>
            <w:r>
              <w:rPr>
                <w:rFonts w:ascii="Times New Roman" w:hAnsi="Times New Roman" w:eastAsia="Times New Roman" w:cs="Times New Roman"/>
                <w:spacing w:val="2"/>
                <w:sz w:val="20"/>
                <w:szCs w:val="20"/>
                <w:highlight w:val="none"/>
              </w:rPr>
              <w:t xml:space="preserve">30 </w:t>
            </w:r>
            <w:r>
              <w:rPr>
                <w:rFonts w:ascii="宋体" w:hAnsi="宋体" w:eastAsia="宋体" w:cs="宋体"/>
                <w:spacing w:val="2"/>
                <w:sz w:val="20"/>
                <w:szCs w:val="20"/>
                <w:highlight w:val="none"/>
              </w:rPr>
              <w:t>日后，可以申请注销农民工工资专用账户，账户内余</w:t>
            </w:r>
            <w:r>
              <w:rPr>
                <w:rFonts w:ascii="宋体" w:hAnsi="宋体" w:eastAsia="宋体" w:cs="宋体"/>
                <w:spacing w:val="1"/>
                <w:sz w:val="20"/>
                <w:szCs w:val="20"/>
                <w:highlight w:val="none"/>
              </w:rPr>
              <w:t>额</w:t>
            </w:r>
            <w:r>
              <w:rPr>
                <w:rFonts w:ascii="宋体" w:hAnsi="宋体" w:eastAsia="宋体" w:cs="宋体"/>
                <w:sz w:val="20"/>
                <w:szCs w:val="20"/>
                <w:highlight w:val="none"/>
              </w:rPr>
              <w:t>归承</w:t>
            </w:r>
          </w:p>
          <w:p w14:paraId="32C34AA2">
            <w:pPr>
              <w:spacing w:line="228" w:lineRule="auto"/>
              <w:ind w:left="109"/>
              <w:rPr>
                <w:rFonts w:ascii="宋体" w:hAnsi="宋体" w:eastAsia="宋体" w:cs="宋体"/>
                <w:sz w:val="20"/>
                <w:szCs w:val="20"/>
                <w:highlight w:val="none"/>
              </w:rPr>
            </w:pPr>
            <w:r>
              <w:rPr>
                <w:rFonts w:ascii="宋体" w:hAnsi="宋体" w:eastAsia="宋体" w:cs="宋体"/>
                <w:spacing w:val="5"/>
                <w:sz w:val="20"/>
                <w:szCs w:val="20"/>
                <w:highlight w:val="none"/>
              </w:rPr>
              <w:t>包</w:t>
            </w:r>
            <w:r>
              <w:rPr>
                <w:rFonts w:ascii="宋体" w:hAnsi="宋体" w:eastAsia="宋体" w:cs="宋体"/>
                <w:spacing w:val="3"/>
                <w:sz w:val="20"/>
                <w:szCs w:val="20"/>
                <w:highlight w:val="none"/>
              </w:rPr>
              <w:t>人所有。</w:t>
            </w:r>
          </w:p>
          <w:p w14:paraId="03A11E25">
            <w:pPr>
              <w:spacing w:before="111" w:line="374" w:lineRule="auto"/>
              <w:ind w:left="108" w:right="99" w:firstLine="207"/>
              <w:rPr>
                <w:rFonts w:ascii="宋体" w:hAnsi="宋体" w:eastAsia="宋体" w:cs="宋体"/>
                <w:sz w:val="20"/>
                <w:szCs w:val="20"/>
                <w:highlight w:val="none"/>
              </w:rPr>
            </w:pPr>
            <w:r>
              <w:rPr>
                <w:rFonts w:ascii="Times New Roman" w:hAnsi="Times New Roman" w:eastAsia="Times New Roman" w:cs="Times New Roman"/>
                <w:sz w:val="20"/>
                <w:szCs w:val="20"/>
                <w:highlight w:val="none"/>
              </w:rPr>
              <w:t>f</w:t>
            </w:r>
            <w:r>
              <w:rPr>
                <w:rFonts w:ascii="宋体" w:hAnsi="宋体" w:eastAsia="宋体" w:cs="宋体"/>
                <w:spacing w:val="7"/>
                <w:sz w:val="20"/>
                <w:szCs w:val="20"/>
                <w:highlight w:val="none"/>
              </w:rPr>
              <w:t>、</w:t>
            </w:r>
            <w:r>
              <w:rPr>
                <w:rFonts w:ascii="宋体" w:hAnsi="宋体" w:eastAsia="宋体" w:cs="宋体"/>
                <w:spacing w:val="4"/>
                <w:sz w:val="20"/>
                <w:szCs w:val="20"/>
                <w:highlight w:val="none"/>
              </w:rPr>
              <w:t>承包人 (包括其分包人) 应当依法与所招用的农民工订立劳动合同并进行用工</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实</w:t>
            </w:r>
            <w:r>
              <w:rPr>
                <w:rFonts w:ascii="宋体" w:hAnsi="宋体" w:eastAsia="宋体" w:cs="宋体"/>
                <w:spacing w:val="6"/>
                <w:sz w:val="20"/>
                <w:szCs w:val="20"/>
                <w:highlight w:val="none"/>
              </w:rPr>
              <w:t>名登记，通过相应的管理服务信息平台 (如辽宁省建筑工人实名制信息管理服务</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平台、辽宁省欠薪预警信息系统) 进行用工实名登记、管理。未与承包人 (包括</w:t>
            </w:r>
            <w:r>
              <w:rPr>
                <w:rFonts w:ascii="宋体" w:hAnsi="宋体" w:eastAsia="宋体" w:cs="宋体"/>
                <w:spacing w:val="3"/>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分</w:t>
            </w:r>
            <w:r>
              <w:rPr>
                <w:rFonts w:ascii="宋体" w:hAnsi="宋体" w:eastAsia="宋体" w:cs="宋体"/>
                <w:spacing w:val="6"/>
                <w:sz w:val="20"/>
                <w:szCs w:val="20"/>
                <w:highlight w:val="none"/>
              </w:rPr>
              <w:t>包人) 订立劳动合同并进行用工实名登记的人员，不得进入项目现场施工。承包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9"/>
                <w:sz w:val="20"/>
                <w:szCs w:val="20"/>
                <w:highlight w:val="none"/>
              </w:rPr>
              <w:t>对</w:t>
            </w:r>
            <w:r>
              <w:rPr>
                <w:rFonts w:ascii="宋体" w:hAnsi="宋体" w:eastAsia="宋体" w:cs="宋体"/>
                <w:spacing w:val="6"/>
                <w:sz w:val="20"/>
                <w:szCs w:val="20"/>
                <w:highlight w:val="none"/>
              </w:rPr>
              <w:t>工程进行分包的，应在工程项目部配备劳资专管员，对分包人劳动用工实施监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督</w:t>
            </w:r>
            <w:r>
              <w:rPr>
                <w:rFonts w:ascii="宋体" w:hAnsi="宋体" w:eastAsia="宋体" w:cs="宋体"/>
                <w:spacing w:val="9"/>
                <w:sz w:val="20"/>
                <w:szCs w:val="20"/>
                <w:highlight w:val="none"/>
              </w:rPr>
              <w:t>管</w:t>
            </w:r>
            <w:r>
              <w:rPr>
                <w:rFonts w:ascii="宋体" w:hAnsi="宋体" w:eastAsia="宋体" w:cs="宋体"/>
                <w:spacing w:val="6"/>
                <w:sz w:val="20"/>
                <w:szCs w:val="20"/>
                <w:highlight w:val="none"/>
              </w:rPr>
              <w:t>理，掌握施工现场用工、考勤、工资支付等情况，审核分包人编制的农民工工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资</w:t>
            </w:r>
            <w:r>
              <w:rPr>
                <w:rFonts w:ascii="宋体" w:hAnsi="宋体" w:eastAsia="宋体" w:cs="宋体"/>
                <w:spacing w:val="9"/>
                <w:sz w:val="20"/>
                <w:szCs w:val="20"/>
                <w:highlight w:val="none"/>
              </w:rPr>
              <w:t>支</w:t>
            </w:r>
            <w:r>
              <w:rPr>
                <w:rFonts w:ascii="宋体" w:hAnsi="宋体" w:eastAsia="宋体" w:cs="宋体"/>
                <w:spacing w:val="6"/>
                <w:sz w:val="20"/>
                <w:szCs w:val="20"/>
                <w:highlight w:val="none"/>
              </w:rPr>
              <w:t>付表。承包人应当建立用工管理台账，并保存至工程完工且工资全部结清后至</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少</w:t>
            </w:r>
            <w:r>
              <w:rPr>
                <w:rFonts w:ascii="宋体" w:hAnsi="宋体" w:eastAsia="宋体" w:cs="宋体"/>
                <w:spacing w:val="-6"/>
                <w:sz w:val="20"/>
                <w:szCs w:val="20"/>
                <w:highlight w:val="none"/>
              </w:rPr>
              <w:t xml:space="preserve"> </w:t>
            </w:r>
            <w:r>
              <w:rPr>
                <w:rFonts w:ascii="Times New Roman" w:hAnsi="Times New Roman" w:eastAsia="Times New Roman" w:cs="Times New Roman"/>
                <w:spacing w:val="-6"/>
                <w:sz w:val="20"/>
                <w:szCs w:val="20"/>
                <w:highlight w:val="none"/>
              </w:rPr>
              <w:t xml:space="preserve">3 </w:t>
            </w:r>
            <w:r>
              <w:rPr>
                <w:rFonts w:ascii="宋体" w:hAnsi="宋体" w:eastAsia="宋体" w:cs="宋体"/>
                <w:spacing w:val="-6"/>
                <w:sz w:val="20"/>
                <w:szCs w:val="20"/>
                <w:highlight w:val="none"/>
              </w:rPr>
              <w:t>年。</w:t>
            </w:r>
          </w:p>
          <w:p w14:paraId="389B0676">
            <w:pPr>
              <w:spacing w:line="399" w:lineRule="exact"/>
              <w:ind w:left="313"/>
              <w:rPr>
                <w:rFonts w:ascii="宋体" w:hAnsi="宋体" w:eastAsia="宋体" w:cs="宋体"/>
                <w:sz w:val="20"/>
                <w:szCs w:val="20"/>
                <w:highlight w:val="none"/>
              </w:rPr>
            </w:pPr>
            <w:r>
              <w:rPr>
                <w:rFonts w:ascii="Times New Roman" w:hAnsi="Times New Roman" w:eastAsia="Times New Roman" w:cs="Times New Roman"/>
                <w:position w:val="15"/>
                <w:sz w:val="20"/>
                <w:szCs w:val="20"/>
                <w:highlight w:val="none"/>
              </w:rPr>
              <w:t>g</w:t>
            </w:r>
            <w:r>
              <w:rPr>
                <w:rFonts w:ascii="宋体" w:hAnsi="宋体" w:eastAsia="宋体" w:cs="宋体"/>
                <w:spacing w:val="6"/>
                <w:position w:val="15"/>
                <w:sz w:val="20"/>
                <w:szCs w:val="20"/>
                <w:highlight w:val="none"/>
              </w:rPr>
              <w:t>、分包人 (如有</w:t>
            </w:r>
            <w:r>
              <w:rPr>
                <w:rFonts w:ascii="宋体" w:hAnsi="宋体" w:eastAsia="宋体" w:cs="宋体"/>
                <w:spacing w:val="3"/>
                <w:position w:val="15"/>
                <w:sz w:val="20"/>
                <w:szCs w:val="20"/>
                <w:highlight w:val="none"/>
              </w:rPr>
              <w:t>) 拖欠农民工工资的，由承包人先行清偿，再依法进行追偿。因</w:t>
            </w:r>
          </w:p>
          <w:p w14:paraId="4ACC3999">
            <w:pPr>
              <w:spacing w:line="226" w:lineRule="auto"/>
              <w:ind w:left="109"/>
              <w:rPr>
                <w:rFonts w:ascii="宋体" w:hAnsi="宋体" w:eastAsia="宋体" w:cs="宋体"/>
                <w:sz w:val="20"/>
                <w:szCs w:val="20"/>
                <w:highlight w:val="none"/>
              </w:rPr>
            </w:pPr>
            <w:r>
              <w:rPr>
                <w:rFonts w:ascii="宋体" w:hAnsi="宋体" w:eastAsia="宋体" w:cs="宋体"/>
                <w:spacing w:val="10"/>
                <w:sz w:val="20"/>
                <w:szCs w:val="20"/>
                <w:highlight w:val="none"/>
              </w:rPr>
              <w:t>承包人转</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导致拖欠农民工工资的，由承包人先行清偿，再依法进行追偿。</w:t>
            </w:r>
          </w:p>
          <w:p w14:paraId="2C8BD028">
            <w:pPr>
              <w:spacing w:before="118" w:line="369" w:lineRule="auto"/>
              <w:ind w:left="111" w:right="99" w:firstLine="196"/>
              <w:rPr>
                <w:rFonts w:ascii="宋体" w:hAnsi="宋体" w:eastAsia="宋体" w:cs="宋体"/>
                <w:sz w:val="20"/>
                <w:szCs w:val="20"/>
                <w:highlight w:val="none"/>
              </w:rPr>
            </w:pPr>
            <w:r>
              <w:rPr>
                <w:rFonts w:ascii="Times New Roman" w:hAnsi="Times New Roman" w:eastAsia="Times New Roman" w:cs="Times New Roman"/>
                <w:sz w:val="20"/>
                <w:szCs w:val="20"/>
                <w:highlight w:val="none"/>
              </w:rPr>
              <w:t>h</w:t>
            </w:r>
            <w:r>
              <w:rPr>
                <w:rFonts w:ascii="宋体" w:hAnsi="宋体" w:eastAsia="宋体" w:cs="宋体"/>
                <w:spacing w:val="6"/>
                <w:sz w:val="20"/>
                <w:szCs w:val="20"/>
                <w:highlight w:val="none"/>
              </w:rPr>
              <w:t>、承包人应当</w:t>
            </w:r>
            <w:r>
              <w:rPr>
                <w:rFonts w:ascii="宋体" w:hAnsi="宋体" w:eastAsia="宋体" w:cs="宋体"/>
                <w:spacing w:val="5"/>
                <w:sz w:val="20"/>
                <w:szCs w:val="20"/>
                <w:highlight w:val="none"/>
              </w:rPr>
              <w:t>按</w:t>
            </w:r>
            <w:r>
              <w:rPr>
                <w:rFonts w:ascii="宋体" w:hAnsi="宋体" w:eastAsia="宋体" w:cs="宋体"/>
                <w:spacing w:val="3"/>
                <w:sz w:val="20"/>
                <w:szCs w:val="20"/>
                <w:highlight w:val="none"/>
              </w:rPr>
              <w:t>照项目所在省、市的人力资源社会保障行政部门、交通运输主管</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部</w:t>
            </w:r>
            <w:r>
              <w:rPr>
                <w:rFonts w:ascii="宋体" w:hAnsi="宋体" w:eastAsia="宋体" w:cs="宋体"/>
                <w:spacing w:val="5"/>
                <w:sz w:val="20"/>
                <w:szCs w:val="20"/>
                <w:highlight w:val="none"/>
              </w:rPr>
              <w:t>门等的有关规定存储工资保证金。</w:t>
            </w:r>
          </w:p>
          <w:p w14:paraId="7431BDC1">
            <w:pPr>
              <w:spacing w:before="1" w:line="387" w:lineRule="auto"/>
              <w:ind w:left="111" w:right="99" w:firstLine="202"/>
              <w:rPr>
                <w:rFonts w:ascii="宋体" w:hAnsi="宋体" w:eastAsia="宋体" w:cs="宋体"/>
                <w:sz w:val="20"/>
                <w:szCs w:val="20"/>
                <w:highlight w:val="none"/>
              </w:rPr>
            </w:pPr>
            <w:r>
              <w:rPr>
                <w:rFonts w:ascii="Times New Roman" w:hAnsi="Times New Roman" w:eastAsia="Times New Roman" w:cs="Times New Roman"/>
                <w:sz w:val="20"/>
                <w:szCs w:val="20"/>
                <w:highlight w:val="none"/>
              </w:rPr>
              <w:t>i</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w:t>
            </w:r>
            <w:r>
              <w:rPr>
                <w:rFonts w:ascii="宋体" w:hAnsi="宋体" w:eastAsia="宋体" w:cs="宋体"/>
                <w:spacing w:val="3"/>
                <w:sz w:val="20"/>
                <w:szCs w:val="20"/>
                <w:highlight w:val="none"/>
              </w:rPr>
              <w:t>承包人应当在施工现场醒目位置设立维权信息告示牌，明示下列事项：①发包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6"/>
                <w:sz w:val="20"/>
                <w:szCs w:val="20"/>
                <w:highlight w:val="none"/>
              </w:rPr>
              <w:t>、承包人及所在项目部、分包单位、相关行业工程建设主管部门、劳资专管员等</w:t>
            </w:r>
          </w:p>
          <w:p w14:paraId="35E63D56">
            <w:pPr>
              <w:spacing w:before="138" w:line="369" w:lineRule="auto"/>
              <w:ind w:left="115" w:right="134" w:hanging="5"/>
              <w:rPr>
                <w:rFonts w:ascii="宋体" w:hAnsi="宋体" w:eastAsia="宋体" w:cs="宋体"/>
                <w:sz w:val="20"/>
                <w:szCs w:val="20"/>
                <w:highlight w:val="none"/>
              </w:rPr>
            </w:pPr>
            <w:r>
              <w:rPr>
                <w:rFonts w:ascii="宋体" w:hAnsi="宋体" w:eastAsia="宋体" w:cs="宋体"/>
                <w:spacing w:val="12"/>
                <w:sz w:val="20"/>
                <w:szCs w:val="20"/>
                <w:highlight w:val="none"/>
              </w:rPr>
              <w:t>基</w:t>
            </w:r>
            <w:r>
              <w:rPr>
                <w:rFonts w:ascii="宋体" w:hAnsi="宋体" w:eastAsia="宋体" w:cs="宋体"/>
                <w:spacing w:val="8"/>
                <w:sz w:val="20"/>
                <w:szCs w:val="20"/>
                <w:highlight w:val="none"/>
              </w:rPr>
              <w:t>本</w:t>
            </w:r>
            <w:r>
              <w:rPr>
                <w:rFonts w:ascii="宋体" w:hAnsi="宋体" w:eastAsia="宋体" w:cs="宋体"/>
                <w:spacing w:val="6"/>
                <w:sz w:val="20"/>
                <w:szCs w:val="20"/>
                <w:highlight w:val="none"/>
              </w:rPr>
              <w:t>信息；②当地最低工资标准、工资支付日期等基本信息；③交通运输主管部门</w:t>
            </w:r>
            <w:r>
              <w:rPr>
                <w:rFonts w:ascii="宋体" w:hAnsi="宋体" w:eastAsia="宋体" w:cs="宋体"/>
                <w:spacing w:val="10"/>
                <w:sz w:val="20"/>
                <w:szCs w:val="20"/>
                <w:highlight w:val="none"/>
              </w:rPr>
              <w:t>和</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动保障监察投诉举报电话、劳动争议调解仲裁申请渠道、法律援助申请渠道、</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公</w:t>
            </w:r>
            <w:r>
              <w:rPr>
                <w:rFonts w:ascii="宋体" w:hAnsi="宋体" w:eastAsia="宋体" w:cs="宋体"/>
                <w:spacing w:val="5"/>
                <w:sz w:val="20"/>
                <w:szCs w:val="20"/>
                <w:highlight w:val="none"/>
              </w:rPr>
              <w:t>共</w:t>
            </w:r>
            <w:r>
              <w:rPr>
                <w:rFonts w:ascii="宋体" w:hAnsi="宋体" w:eastAsia="宋体" w:cs="宋体"/>
                <w:spacing w:val="4"/>
                <w:sz w:val="20"/>
                <w:szCs w:val="20"/>
                <w:highlight w:val="none"/>
              </w:rPr>
              <w:t>法律服务热线等信息。</w:t>
            </w:r>
          </w:p>
          <w:p w14:paraId="56DCEC67">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人在履行合同过程中出现拖欠或克扣农民工工资或与本工程有关的债务而导</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致</w:t>
            </w:r>
            <w:r>
              <w:rPr>
                <w:rFonts w:ascii="宋体" w:hAnsi="宋体" w:eastAsia="宋体" w:cs="宋体"/>
                <w:spacing w:val="8"/>
                <w:sz w:val="20"/>
                <w:szCs w:val="20"/>
                <w:highlight w:val="none"/>
              </w:rPr>
              <w:t>阻</w:t>
            </w:r>
            <w:r>
              <w:rPr>
                <w:rFonts w:ascii="宋体" w:hAnsi="宋体" w:eastAsia="宋体" w:cs="宋体"/>
                <w:spacing w:val="6"/>
                <w:sz w:val="20"/>
                <w:szCs w:val="20"/>
                <w:highlight w:val="none"/>
              </w:rPr>
              <w:t>工、上访，经发包人、监理人及政府相关部门确认后，项目管理法人将停止对</w:t>
            </w:r>
          </w:p>
          <w:p w14:paraId="5642B3D9">
            <w:pPr>
              <w:spacing w:line="227" w:lineRule="auto"/>
              <w:ind w:left="109"/>
              <w:rPr>
                <w:rFonts w:ascii="Times New Roman" w:hAnsi="Times New Roman" w:eastAsia="Times New Roman" w:cs="Times New Roman"/>
                <w:sz w:val="20"/>
                <w:szCs w:val="20"/>
                <w:highlight w:val="none"/>
              </w:rPr>
            </w:pPr>
            <w:r>
              <w:rPr>
                <w:rFonts w:ascii="宋体" w:hAnsi="宋体" w:eastAsia="宋体" w:cs="宋体"/>
                <w:spacing w:val="9"/>
                <w:sz w:val="20"/>
                <w:szCs w:val="20"/>
                <w:highlight w:val="none"/>
              </w:rPr>
              <w:t>承</w:t>
            </w:r>
            <w:r>
              <w:rPr>
                <w:rFonts w:ascii="宋体" w:hAnsi="宋体" w:eastAsia="宋体" w:cs="宋体"/>
                <w:spacing w:val="5"/>
                <w:sz w:val="20"/>
                <w:szCs w:val="20"/>
                <w:highlight w:val="none"/>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FA321E4">
            <w:pPr>
              <w:spacing w:line="252" w:lineRule="auto"/>
              <w:rPr>
                <w:rFonts w:ascii="Arial"/>
                <w:sz w:val="21"/>
                <w:highlight w:val="none"/>
              </w:rPr>
            </w:pPr>
          </w:p>
          <w:p w14:paraId="12D1ED40">
            <w:pPr>
              <w:spacing w:line="253" w:lineRule="auto"/>
              <w:rPr>
                <w:rFonts w:ascii="Arial"/>
                <w:sz w:val="21"/>
                <w:highlight w:val="none"/>
              </w:rPr>
            </w:pPr>
          </w:p>
          <w:p w14:paraId="20FDAEE6">
            <w:pPr>
              <w:spacing w:line="253" w:lineRule="auto"/>
              <w:rPr>
                <w:rFonts w:ascii="Arial"/>
                <w:sz w:val="21"/>
                <w:highlight w:val="none"/>
              </w:rPr>
            </w:pPr>
          </w:p>
          <w:p w14:paraId="71F9A6D1">
            <w:pPr>
              <w:spacing w:line="253" w:lineRule="auto"/>
              <w:rPr>
                <w:rFonts w:ascii="Arial"/>
                <w:sz w:val="21"/>
                <w:highlight w:val="none"/>
              </w:rPr>
            </w:pPr>
          </w:p>
          <w:p w14:paraId="570D53A9">
            <w:pPr>
              <w:spacing w:line="253" w:lineRule="auto"/>
              <w:rPr>
                <w:rFonts w:ascii="Arial"/>
                <w:sz w:val="21"/>
                <w:highlight w:val="none"/>
              </w:rPr>
            </w:pPr>
          </w:p>
          <w:p w14:paraId="719D6080">
            <w:pPr>
              <w:spacing w:before="57" w:line="195" w:lineRule="auto"/>
              <w:ind w:left="178"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9"/>
                <w:sz w:val="20"/>
                <w:szCs w:val="20"/>
                <w:highlight w:val="none"/>
              </w:rPr>
              <w:t>1</w:t>
            </w:r>
          </w:p>
        </w:tc>
        <w:tc>
          <w:tcPr>
            <w:tcW w:w="1113" w:type="dxa"/>
            <w:vAlign w:val="top"/>
          </w:tcPr>
          <w:p w14:paraId="766DCDAC">
            <w:pPr>
              <w:spacing w:line="252" w:lineRule="auto"/>
              <w:rPr>
                <w:rFonts w:ascii="Arial"/>
                <w:sz w:val="21"/>
                <w:highlight w:val="none"/>
              </w:rPr>
            </w:pPr>
          </w:p>
          <w:p w14:paraId="4581E382">
            <w:pPr>
              <w:spacing w:line="252" w:lineRule="auto"/>
              <w:rPr>
                <w:rFonts w:ascii="Arial"/>
                <w:sz w:val="21"/>
                <w:highlight w:val="none"/>
              </w:rPr>
            </w:pPr>
          </w:p>
          <w:p w14:paraId="570F7F23">
            <w:pPr>
              <w:spacing w:line="253" w:lineRule="auto"/>
              <w:rPr>
                <w:rFonts w:ascii="Arial"/>
                <w:sz w:val="21"/>
                <w:highlight w:val="none"/>
              </w:rPr>
            </w:pPr>
          </w:p>
          <w:p w14:paraId="0CA6EB13">
            <w:pPr>
              <w:spacing w:line="253" w:lineRule="auto"/>
              <w:rPr>
                <w:rFonts w:ascii="Arial"/>
                <w:sz w:val="21"/>
                <w:highlight w:val="none"/>
              </w:rPr>
            </w:pPr>
          </w:p>
          <w:p w14:paraId="0EB6DA5B">
            <w:pPr>
              <w:spacing w:line="253" w:lineRule="auto"/>
              <w:rPr>
                <w:rFonts w:ascii="Arial"/>
                <w:sz w:val="21"/>
                <w:highlight w:val="none"/>
              </w:rPr>
            </w:pPr>
          </w:p>
          <w:p w14:paraId="1F6436BE">
            <w:pPr>
              <w:spacing w:before="58"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4.2</w:t>
            </w:r>
          </w:p>
        </w:tc>
        <w:tc>
          <w:tcPr>
            <w:tcW w:w="7644" w:type="dxa"/>
            <w:tcBorders>
              <w:right w:val="single" w:color="000000" w:sz="6" w:space="0"/>
            </w:tcBorders>
            <w:vAlign w:val="top"/>
          </w:tcPr>
          <w:p w14:paraId="02B84BD0">
            <w:pPr>
              <w:spacing w:before="101" w:line="293" w:lineRule="auto"/>
              <w:ind w:left="319"/>
              <w:rPr>
                <w:rFonts w:ascii="宋体" w:hAnsi="宋体" w:eastAsia="宋体" w:cs="宋体"/>
                <w:sz w:val="20"/>
                <w:szCs w:val="20"/>
                <w:highlight w:val="none"/>
              </w:rPr>
            </w:pPr>
            <w:r>
              <w:rPr>
                <w:rFonts w:ascii="宋体" w:hAnsi="宋体" w:eastAsia="宋体" w:cs="宋体"/>
                <w:spacing w:val="6"/>
                <w:sz w:val="20"/>
                <w:szCs w:val="20"/>
                <w:highlight w:val="none"/>
              </w:rPr>
              <w:t>履约保证金</w:t>
            </w:r>
            <w:r>
              <w:rPr>
                <w:rFonts w:ascii="宋体" w:hAnsi="宋体" w:eastAsia="宋体" w:cs="宋体"/>
                <w:spacing w:val="4"/>
                <w:sz w:val="20"/>
                <w:szCs w:val="20"/>
                <w:highlight w:val="none"/>
              </w:rPr>
              <w:t>额</w:t>
            </w:r>
            <w:r>
              <w:rPr>
                <w:rFonts w:ascii="宋体" w:hAnsi="宋体" w:eastAsia="宋体" w:cs="宋体"/>
                <w:spacing w:val="3"/>
                <w:sz w:val="20"/>
                <w:szCs w:val="20"/>
                <w:highlight w:val="none"/>
              </w:rPr>
              <w:t>度为</w:t>
            </w:r>
            <w:r>
              <w:rPr>
                <w:rFonts w:ascii="宋体" w:hAnsi="宋体" w:eastAsia="宋体" w:cs="宋体"/>
                <w:spacing w:val="3"/>
                <w:sz w:val="20"/>
                <w:szCs w:val="20"/>
                <w:highlight w:val="none"/>
                <w:u w:val="single" w:color="auto"/>
              </w:rPr>
              <w:t xml:space="preserve">  签约合同价的 </w:t>
            </w:r>
            <w:r>
              <w:rPr>
                <w:rFonts w:ascii="Times New Roman" w:hAnsi="Times New Roman" w:eastAsia="Times New Roman" w:cs="Times New Roman"/>
                <w:spacing w:val="3"/>
                <w:sz w:val="20"/>
                <w:szCs w:val="20"/>
                <w:highlight w:val="none"/>
                <w:u w:val="single" w:color="auto"/>
              </w:rPr>
              <w:t xml:space="preserve">5%   </w:t>
            </w:r>
            <w:r>
              <w:rPr>
                <w:rFonts w:ascii="宋体" w:hAnsi="宋体" w:eastAsia="宋体" w:cs="宋体"/>
                <w:spacing w:val="3"/>
                <w:sz w:val="20"/>
                <w:szCs w:val="20"/>
                <w:highlight w:val="none"/>
              </w:rPr>
              <w:t>。</w:t>
            </w:r>
          </w:p>
          <w:p w14:paraId="10AD4EF1">
            <w:pPr>
              <w:spacing w:before="121" w:line="369" w:lineRule="auto"/>
              <w:ind w:left="107" w:right="97" w:firstLine="208"/>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人应保证其履约保证金在发包人签发工程交工验收证书且承包人按照合同约</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定缴纳质量保证金前一直有效。发包人应在收到承包人缴纳的质量保证金后 </w:t>
            </w:r>
            <w:r>
              <w:rPr>
                <w:rFonts w:ascii="Times New Roman" w:hAnsi="Times New Roman" w:eastAsia="Times New Roman" w:cs="Times New Roman"/>
                <w:spacing w:val="2"/>
                <w:sz w:val="20"/>
                <w:szCs w:val="20"/>
                <w:highlight w:val="none"/>
              </w:rPr>
              <w:t xml:space="preserve">28 </w:t>
            </w:r>
            <w:r>
              <w:rPr>
                <w:rFonts w:ascii="宋体" w:hAnsi="宋体" w:eastAsia="宋体" w:cs="宋体"/>
                <w:spacing w:val="2"/>
                <w:sz w:val="20"/>
                <w:szCs w:val="20"/>
                <w:highlight w:val="none"/>
              </w:rPr>
              <w:t>天</w:t>
            </w:r>
            <w:r>
              <w:rPr>
                <w:rFonts w:ascii="宋体" w:hAnsi="宋体" w:eastAsia="宋体" w:cs="宋体"/>
                <w:sz w:val="20"/>
                <w:szCs w:val="20"/>
                <w:highlight w:val="none"/>
              </w:rPr>
              <w:t xml:space="preserve">内 </w:t>
            </w:r>
            <w:r>
              <w:rPr>
                <w:rFonts w:ascii="宋体" w:hAnsi="宋体" w:eastAsia="宋体" w:cs="宋体"/>
                <w:spacing w:val="8"/>
                <w:sz w:val="20"/>
                <w:szCs w:val="20"/>
                <w:highlight w:val="none"/>
              </w:rPr>
              <w:t>将</w:t>
            </w:r>
            <w:r>
              <w:rPr>
                <w:rFonts w:ascii="宋体" w:hAnsi="宋体" w:eastAsia="宋体" w:cs="宋体"/>
                <w:spacing w:val="5"/>
                <w:sz w:val="20"/>
                <w:szCs w:val="20"/>
                <w:highlight w:val="none"/>
              </w:rPr>
              <w:t>履约保证金退还给承包人。</w:t>
            </w:r>
          </w:p>
          <w:p w14:paraId="14745049">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人拒绝按照本合同约定缴纳质量保证金的，发包人有权从应付工程款中扣留</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相</w:t>
            </w:r>
            <w:r>
              <w:rPr>
                <w:rFonts w:ascii="宋体" w:hAnsi="宋体" w:eastAsia="宋体" w:cs="宋体"/>
                <w:spacing w:val="8"/>
                <w:sz w:val="20"/>
                <w:szCs w:val="20"/>
                <w:highlight w:val="none"/>
              </w:rPr>
              <w:t>应</w:t>
            </w:r>
            <w:r>
              <w:rPr>
                <w:rFonts w:ascii="宋体" w:hAnsi="宋体" w:eastAsia="宋体" w:cs="宋体"/>
                <w:spacing w:val="6"/>
                <w:sz w:val="20"/>
                <w:szCs w:val="20"/>
                <w:highlight w:val="none"/>
              </w:rPr>
              <w:t>金额作为质量保证金，或者直接将履约保证金金额用于保证承包人在缺陷责任</w:t>
            </w:r>
          </w:p>
          <w:p w14:paraId="5AF38A2F">
            <w:pPr>
              <w:spacing w:line="227" w:lineRule="auto"/>
              <w:ind w:left="111" w:leftChars="0"/>
              <w:rPr>
                <w:rFonts w:ascii="宋体" w:hAnsi="宋体" w:eastAsia="宋体" w:cs="宋体"/>
                <w:spacing w:val="9"/>
                <w:sz w:val="20"/>
                <w:szCs w:val="20"/>
                <w:highlight w:val="none"/>
              </w:rPr>
            </w:pPr>
            <w:r>
              <w:rPr>
                <w:rFonts w:ascii="宋体" w:hAnsi="宋体" w:eastAsia="宋体" w:cs="宋体"/>
                <w:spacing w:val="8"/>
                <w:sz w:val="20"/>
                <w:szCs w:val="20"/>
                <w:highlight w:val="none"/>
              </w:rPr>
              <w:t>期</w:t>
            </w:r>
            <w:r>
              <w:rPr>
                <w:rFonts w:ascii="宋体" w:hAnsi="宋体" w:eastAsia="宋体" w:cs="宋体"/>
                <w:spacing w:val="7"/>
                <w:sz w:val="20"/>
                <w:szCs w:val="20"/>
                <w:highlight w:val="none"/>
              </w:rPr>
              <w:t>内</w:t>
            </w:r>
            <w:r>
              <w:rPr>
                <w:rFonts w:ascii="宋体" w:hAnsi="宋体" w:eastAsia="宋体" w:cs="宋体"/>
                <w:spacing w:val="4"/>
                <w:sz w:val="20"/>
                <w:szCs w:val="20"/>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8DDD3F8">
            <w:pPr>
              <w:spacing w:line="266" w:lineRule="auto"/>
              <w:rPr>
                <w:rFonts w:ascii="Arial"/>
                <w:sz w:val="21"/>
                <w:highlight w:val="none"/>
              </w:rPr>
            </w:pPr>
          </w:p>
          <w:p w14:paraId="402B2F6B">
            <w:pPr>
              <w:spacing w:line="266" w:lineRule="auto"/>
              <w:rPr>
                <w:rFonts w:ascii="Arial"/>
                <w:sz w:val="21"/>
                <w:highlight w:val="none"/>
              </w:rPr>
            </w:pPr>
          </w:p>
          <w:p w14:paraId="2A22D099">
            <w:pPr>
              <w:spacing w:line="266" w:lineRule="auto"/>
              <w:rPr>
                <w:rFonts w:ascii="Arial"/>
                <w:sz w:val="21"/>
                <w:highlight w:val="none"/>
              </w:rPr>
            </w:pPr>
          </w:p>
          <w:p w14:paraId="642B42C8">
            <w:pPr>
              <w:spacing w:line="266" w:lineRule="auto"/>
              <w:rPr>
                <w:rFonts w:ascii="Arial"/>
                <w:sz w:val="21"/>
                <w:highlight w:val="none"/>
              </w:rPr>
            </w:pPr>
          </w:p>
          <w:p w14:paraId="100A7D6B">
            <w:pPr>
              <w:spacing w:line="266" w:lineRule="auto"/>
              <w:rPr>
                <w:rFonts w:ascii="Arial"/>
                <w:sz w:val="21"/>
                <w:highlight w:val="none"/>
              </w:rPr>
            </w:pPr>
          </w:p>
          <w:p w14:paraId="49822B13">
            <w:pPr>
              <w:spacing w:line="266" w:lineRule="auto"/>
              <w:rPr>
                <w:rFonts w:ascii="Arial"/>
                <w:sz w:val="21"/>
                <w:highlight w:val="none"/>
              </w:rPr>
            </w:pPr>
          </w:p>
          <w:p w14:paraId="0E80A78A">
            <w:pPr>
              <w:spacing w:line="266" w:lineRule="auto"/>
              <w:rPr>
                <w:rFonts w:ascii="Arial"/>
                <w:sz w:val="21"/>
                <w:highlight w:val="none"/>
              </w:rPr>
            </w:pPr>
          </w:p>
          <w:p w14:paraId="042079B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2</w:t>
            </w:r>
          </w:p>
        </w:tc>
        <w:tc>
          <w:tcPr>
            <w:tcW w:w="1113" w:type="dxa"/>
            <w:vAlign w:val="top"/>
          </w:tcPr>
          <w:p w14:paraId="42191E76">
            <w:pPr>
              <w:spacing w:line="265" w:lineRule="auto"/>
              <w:rPr>
                <w:rFonts w:ascii="Arial"/>
                <w:sz w:val="21"/>
                <w:highlight w:val="none"/>
              </w:rPr>
            </w:pPr>
          </w:p>
          <w:p w14:paraId="3A78922A">
            <w:pPr>
              <w:spacing w:line="266" w:lineRule="auto"/>
              <w:rPr>
                <w:rFonts w:ascii="Arial"/>
                <w:sz w:val="21"/>
                <w:highlight w:val="none"/>
              </w:rPr>
            </w:pPr>
          </w:p>
          <w:p w14:paraId="5FA5C78F">
            <w:pPr>
              <w:spacing w:line="266" w:lineRule="auto"/>
              <w:rPr>
                <w:rFonts w:ascii="Arial"/>
                <w:sz w:val="21"/>
                <w:highlight w:val="none"/>
              </w:rPr>
            </w:pPr>
          </w:p>
          <w:p w14:paraId="7F0A9695">
            <w:pPr>
              <w:spacing w:line="266" w:lineRule="auto"/>
              <w:rPr>
                <w:rFonts w:ascii="Arial"/>
                <w:sz w:val="21"/>
                <w:highlight w:val="none"/>
              </w:rPr>
            </w:pPr>
          </w:p>
          <w:p w14:paraId="1A446496">
            <w:pPr>
              <w:spacing w:line="266" w:lineRule="auto"/>
              <w:rPr>
                <w:rFonts w:ascii="Arial"/>
                <w:sz w:val="21"/>
                <w:highlight w:val="none"/>
              </w:rPr>
            </w:pPr>
          </w:p>
          <w:p w14:paraId="497CA1CD">
            <w:pPr>
              <w:spacing w:line="266" w:lineRule="auto"/>
              <w:rPr>
                <w:rFonts w:ascii="Arial"/>
                <w:sz w:val="21"/>
                <w:highlight w:val="none"/>
              </w:rPr>
            </w:pPr>
          </w:p>
          <w:p w14:paraId="43C80DF2">
            <w:pPr>
              <w:spacing w:line="266" w:lineRule="auto"/>
              <w:rPr>
                <w:rFonts w:ascii="Arial"/>
                <w:sz w:val="21"/>
                <w:highlight w:val="none"/>
              </w:rPr>
            </w:pPr>
          </w:p>
          <w:p w14:paraId="2AB78202">
            <w:pPr>
              <w:spacing w:before="58" w:line="198" w:lineRule="auto"/>
              <w:ind w:left="34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4.3.4</w:t>
            </w:r>
          </w:p>
        </w:tc>
        <w:tc>
          <w:tcPr>
            <w:tcW w:w="7644" w:type="dxa"/>
            <w:tcBorders>
              <w:right w:val="single" w:color="000000" w:sz="6" w:space="0"/>
            </w:tcBorders>
            <w:vAlign w:val="top"/>
          </w:tcPr>
          <w:p w14:paraId="099E8EDA">
            <w:pPr>
              <w:spacing w:before="140" w:line="228" w:lineRule="auto"/>
              <w:ind w:left="310"/>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4.3.4  </w:t>
            </w:r>
            <w:r>
              <w:rPr>
                <w:rFonts w:ascii="宋体" w:hAnsi="宋体" w:eastAsia="宋体" w:cs="宋体"/>
                <w:spacing w:val="3"/>
                <w:sz w:val="20"/>
                <w:szCs w:val="20"/>
                <w:highlight w:val="none"/>
              </w:rPr>
              <w:t>劳务分</w:t>
            </w:r>
            <w:r>
              <w:rPr>
                <w:rFonts w:ascii="宋体" w:hAnsi="宋体" w:eastAsia="宋体" w:cs="宋体"/>
                <w:spacing w:val="1"/>
                <w:sz w:val="20"/>
                <w:szCs w:val="20"/>
                <w:highlight w:val="none"/>
              </w:rPr>
              <w:t>包</w:t>
            </w:r>
          </w:p>
          <w:p w14:paraId="712DBF63">
            <w:pPr>
              <w:spacing w:before="154"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项补充：</w:t>
            </w:r>
          </w:p>
          <w:p w14:paraId="440C31DE">
            <w:pPr>
              <w:spacing w:before="154" w:line="369" w:lineRule="auto"/>
              <w:ind w:left="108" w:right="99" w:firstLine="217"/>
              <w:rPr>
                <w:rFonts w:ascii="宋体" w:hAnsi="宋体" w:eastAsia="宋体" w:cs="宋体"/>
                <w:sz w:val="20"/>
                <w:szCs w:val="20"/>
                <w:highlight w:val="none"/>
              </w:rPr>
            </w:pPr>
            <w:r>
              <w:rPr>
                <w:rFonts w:ascii="宋体" w:hAnsi="宋体" w:eastAsia="宋体" w:cs="宋体"/>
                <w:spacing w:val="10"/>
                <w:sz w:val="20"/>
                <w:szCs w:val="20"/>
                <w:highlight w:val="none"/>
              </w:rPr>
              <w:t>(</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 xml:space="preserve">) </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务分包合同应当包括以下内容：劳务合同期限、工作内容和工作时间、劳</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动</w:t>
            </w:r>
            <w:r>
              <w:rPr>
                <w:rFonts w:ascii="宋体" w:hAnsi="宋体" w:eastAsia="宋体" w:cs="宋体"/>
                <w:spacing w:val="6"/>
                <w:sz w:val="20"/>
                <w:szCs w:val="20"/>
                <w:highlight w:val="none"/>
              </w:rPr>
              <w:t>保护和劳动条件、劳务报酬 (在劳动合同中要明确工资以货币形式按月支付，并</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约定支付的时间、标准和支付方式) 、劳动纪律 (在劳动合同中明确要求农民工</w:t>
            </w:r>
            <w:r>
              <w:rPr>
                <w:rFonts w:ascii="宋体" w:hAnsi="宋体" w:eastAsia="宋体" w:cs="宋体"/>
                <w:spacing w:val="3"/>
                <w:sz w:val="20"/>
                <w:szCs w:val="20"/>
                <w:highlight w:val="none"/>
              </w:rPr>
              <w:t>遵</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守</w:t>
            </w:r>
            <w:r>
              <w:rPr>
                <w:rFonts w:ascii="宋体" w:hAnsi="宋体" w:eastAsia="宋体" w:cs="宋体"/>
                <w:spacing w:val="9"/>
                <w:sz w:val="20"/>
                <w:szCs w:val="20"/>
                <w:highlight w:val="none"/>
              </w:rPr>
              <w:t>的</w:t>
            </w:r>
            <w:r>
              <w:rPr>
                <w:rFonts w:ascii="宋体" w:hAnsi="宋体" w:eastAsia="宋体" w:cs="宋体"/>
                <w:spacing w:val="6"/>
                <w:sz w:val="20"/>
                <w:szCs w:val="20"/>
                <w:highlight w:val="none"/>
              </w:rPr>
              <w:t>用人单位依法制定的有关规章制度，用人单位应当在签订劳动合同前告知农民</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工) 、违反劳务合同的责任 (劳务合同中应当约定违约责任，一方违反劳务合同</w:t>
            </w:r>
            <w:r>
              <w:rPr>
                <w:rFonts w:ascii="宋体" w:hAnsi="宋体" w:eastAsia="宋体" w:cs="宋体"/>
                <w:spacing w:val="3"/>
                <w:sz w:val="20"/>
                <w:szCs w:val="20"/>
                <w:highlight w:val="none"/>
              </w:rPr>
              <w:t>给</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对方造</w:t>
            </w:r>
            <w:r>
              <w:rPr>
                <w:rFonts w:ascii="宋体" w:hAnsi="宋体" w:eastAsia="宋体" w:cs="宋体"/>
                <w:spacing w:val="5"/>
                <w:sz w:val="20"/>
                <w:szCs w:val="20"/>
                <w:highlight w:val="none"/>
              </w:rPr>
              <w:t>成经济损失的，要按《劳动法》等有关法律规定承担赔偿责任) 。</w:t>
            </w:r>
          </w:p>
          <w:p w14:paraId="77C85A24">
            <w:pPr>
              <w:spacing w:line="400" w:lineRule="exact"/>
              <w:ind w:left="325"/>
              <w:rPr>
                <w:rFonts w:ascii="宋体" w:hAnsi="宋体" w:eastAsia="宋体" w:cs="宋体"/>
                <w:sz w:val="20"/>
                <w:szCs w:val="20"/>
                <w:highlight w:val="none"/>
              </w:rPr>
            </w:pPr>
            <w:r>
              <w:rPr>
                <w:rFonts w:ascii="宋体" w:hAnsi="宋体" w:eastAsia="宋体" w:cs="宋体"/>
                <w:spacing w:val="10"/>
                <w:position w:val="15"/>
                <w:sz w:val="20"/>
                <w:szCs w:val="20"/>
                <w:highlight w:val="none"/>
              </w:rPr>
              <w:t>(</w:t>
            </w:r>
            <w:r>
              <w:rPr>
                <w:rFonts w:ascii="Times New Roman" w:hAnsi="Times New Roman" w:eastAsia="Times New Roman" w:cs="Times New Roman"/>
                <w:spacing w:val="10"/>
                <w:position w:val="15"/>
                <w:sz w:val="20"/>
                <w:szCs w:val="20"/>
                <w:highlight w:val="none"/>
              </w:rPr>
              <w:t>6</w:t>
            </w:r>
            <w:r>
              <w:rPr>
                <w:rFonts w:ascii="宋体" w:hAnsi="宋体" w:eastAsia="宋体" w:cs="宋体"/>
                <w:spacing w:val="10"/>
                <w:position w:val="15"/>
                <w:sz w:val="20"/>
                <w:szCs w:val="20"/>
                <w:highlight w:val="none"/>
              </w:rPr>
              <w:t>) 发</w:t>
            </w:r>
            <w:r>
              <w:rPr>
                <w:rFonts w:ascii="宋体" w:hAnsi="宋体" w:eastAsia="宋体" w:cs="宋体"/>
                <w:spacing w:val="5"/>
                <w:position w:val="15"/>
                <w:sz w:val="20"/>
                <w:szCs w:val="20"/>
                <w:highlight w:val="none"/>
              </w:rPr>
              <w:t>包人批准的劳务分包并不免除本合同规定的承包人的任何责任或义务，发</w:t>
            </w:r>
          </w:p>
          <w:p w14:paraId="16EA4D20">
            <w:pPr>
              <w:spacing w:line="224" w:lineRule="auto"/>
              <w:ind w:left="109" w:leftChars="0"/>
              <w:rPr>
                <w:rFonts w:ascii="宋体" w:hAnsi="宋体" w:eastAsia="宋体" w:cs="宋体"/>
                <w:spacing w:val="9"/>
                <w:sz w:val="20"/>
                <w:szCs w:val="20"/>
                <w:highlight w:val="none"/>
              </w:rPr>
            </w:pPr>
            <w:r>
              <w:rPr>
                <w:rFonts w:ascii="宋体" w:hAnsi="宋体" w:eastAsia="宋体" w:cs="宋体"/>
                <w:spacing w:val="10"/>
                <w:sz w:val="20"/>
                <w:szCs w:val="20"/>
                <w:highlight w:val="none"/>
              </w:rPr>
              <w:t>包人对承</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1290D49">
            <w:pPr>
              <w:spacing w:line="267" w:lineRule="auto"/>
              <w:rPr>
                <w:rFonts w:ascii="Arial"/>
                <w:sz w:val="21"/>
                <w:highlight w:val="none"/>
              </w:rPr>
            </w:pPr>
          </w:p>
          <w:p w14:paraId="21B3D4C8">
            <w:pPr>
              <w:spacing w:line="267" w:lineRule="auto"/>
              <w:rPr>
                <w:rFonts w:ascii="Arial"/>
                <w:sz w:val="21"/>
                <w:highlight w:val="none"/>
              </w:rPr>
            </w:pPr>
          </w:p>
          <w:p w14:paraId="09C07C2C">
            <w:pPr>
              <w:spacing w:line="267" w:lineRule="auto"/>
              <w:rPr>
                <w:rFonts w:ascii="Arial"/>
                <w:sz w:val="21"/>
                <w:highlight w:val="none"/>
              </w:rPr>
            </w:pPr>
          </w:p>
          <w:p w14:paraId="621C82A0">
            <w:pPr>
              <w:spacing w:line="268" w:lineRule="auto"/>
              <w:rPr>
                <w:rFonts w:ascii="Arial"/>
                <w:sz w:val="21"/>
                <w:highlight w:val="none"/>
              </w:rPr>
            </w:pPr>
          </w:p>
          <w:p w14:paraId="4D296BC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3</w:t>
            </w:r>
          </w:p>
        </w:tc>
        <w:tc>
          <w:tcPr>
            <w:tcW w:w="1113" w:type="dxa"/>
            <w:vAlign w:val="top"/>
          </w:tcPr>
          <w:p w14:paraId="6810BC93">
            <w:pPr>
              <w:spacing w:line="267" w:lineRule="auto"/>
              <w:rPr>
                <w:rFonts w:ascii="Arial"/>
                <w:sz w:val="21"/>
                <w:highlight w:val="none"/>
              </w:rPr>
            </w:pPr>
          </w:p>
          <w:p w14:paraId="34D33432">
            <w:pPr>
              <w:spacing w:line="267" w:lineRule="auto"/>
              <w:rPr>
                <w:rFonts w:ascii="Arial"/>
                <w:sz w:val="21"/>
                <w:highlight w:val="none"/>
              </w:rPr>
            </w:pPr>
          </w:p>
          <w:p w14:paraId="67826E46">
            <w:pPr>
              <w:spacing w:line="267" w:lineRule="auto"/>
              <w:rPr>
                <w:rFonts w:ascii="Arial"/>
                <w:sz w:val="21"/>
                <w:highlight w:val="none"/>
              </w:rPr>
            </w:pPr>
          </w:p>
          <w:p w14:paraId="4D28DD5A">
            <w:pPr>
              <w:spacing w:line="268" w:lineRule="auto"/>
              <w:rPr>
                <w:rFonts w:ascii="Arial"/>
                <w:sz w:val="21"/>
                <w:highlight w:val="none"/>
              </w:rPr>
            </w:pPr>
          </w:p>
          <w:p w14:paraId="31A8741C">
            <w:pPr>
              <w:spacing w:before="57"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3"/>
                <w:sz w:val="20"/>
                <w:szCs w:val="20"/>
                <w:highlight w:val="none"/>
              </w:rPr>
              <w:t>.3</w:t>
            </w:r>
          </w:p>
        </w:tc>
        <w:tc>
          <w:tcPr>
            <w:tcW w:w="7644" w:type="dxa"/>
            <w:tcBorders>
              <w:right w:val="single" w:color="000000" w:sz="6" w:space="0"/>
            </w:tcBorders>
            <w:vAlign w:val="top"/>
          </w:tcPr>
          <w:p w14:paraId="0A8A4781">
            <w:pPr>
              <w:spacing w:before="142"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款补充：</w:t>
            </w:r>
          </w:p>
          <w:p w14:paraId="20CCCB93">
            <w:pPr>
              <w:spacing w:before="153" w:line="369" w:lineRule="auto"/>
              <w:ind w:left="110" w:right="99" w:firstLine="20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3"/>
                <w:sz w:val="20"/>
                <w:szCs w:val="20"/>
                <w:highlight w:val="none"/>
              </w:rPr>
              <w:t xml:space="preserve">.3.8  </w:t>
            </w:r>
            <w:r>
              <w:rPr>
                <w:rFonts w:ascii="宋体" w:hAnsi="宋体" w:eastAsia="宋体" w:cs="宋体"/>
                <w:spacing w:val="3"/>
                <w:sz w:val="20"/>
                <w:szCs w:val="20"/>
                <w:highlight w:val="none"/>
              </w:rPr>
              <w:t>本项目的分包合同及劳动合同应按照发包人的要求，按照住房和城乡建设部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和</w:t>
            </w:r>
            <w:r>
              <w:rPr>
                <w:rFonts w:ascii="宋体" w:hAnsi="宋体" w:eastAsia="宋体" w:cs="宋体"/>
                <w:spacing w:val="7"/>
                <w:sz w:val="20"/>
                <w:szCs w:val="20"/>
                <w:highlight w:val="none"/>
              </w:rPr>
              <w:t>劳</w:t>
            </w:r>
            <w:r>
              <w:rPr>
                <w:rFonts w:ascii="宋体" w:hAnsi="宋体" w:eastAsia="宋体" w:cs="宋体"/>
                <w:spacing w:val="6"/>
                <w:sz w:val="20"/>
                <w:szCs w:val="20"/>
                <w:highlight w:val="none"/>
              </w:rPr>
              <w:t>动社会保障部的示范合同文本，或交通运输主管部门颁发的示范合同文本编制</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并签订。</w:t>
            </w:r>
          </w:p>
          <w:p w14:paraId="2577715B">
            <w:pPr>
              <w:spacing w:line="400" w:lineRule="exact"/>
              <w:ind w:left="310"/>
              <w:rPr>
                <w:rFonts w:ascii="宋体" w:hAnsi="宋体" w:eastAsia="宋体" w:cs="宋体"/>
                <w:spacing w:val="9"/>
                <w:sz w:val="20"/>
                <w:szCs w:val="20"/>
                <w:highlight w:val="none"/>
              </w:rPr>
            </w:pPr>
            <w:r>
              <w:rPr>
                <w:rFonts w:ascii="Times New Roman" w:hAnsi="Times New Roman" w:eastAsia="Times New Roman" w:cs="Times New Roman"/>
                <w:spacing w:val="4"/>
                <w:position w:val="14"/>
                <w:sz w:val="20"/>
                <w:szCs w:val="20"/>
                <w:highlight w:val="none"/>
              </w:rPr>
              <w:t xml:space="preserve">4.3.9  </w:t>
            </w:r>
            <w:r>
              <w:rPr>
                <w:rFonts w:ascii="宋体" w:hAnsi="宋体" w:eastAsia="宋体" w:cs="宋体"/>
                <w:spacing w:val="4"/>
                <w:position w:val="14"/>
                <w:sz w:val="20"/>
                <w:szCs w:val="20"/>
                <w:highlight w:val="none"/>
              </w:rPr>
              <w:t xml:space="preserve">承包人的分包应符合本项目招标文件第二章“投标人须知”第 </w:t>
            </w:r>
            <w:r>
              <w:rPr>
                <w:rFonts w:ascii="Times New Roman" w:hAnsi="Times New Roman" w:eastAsia="Times New Roman" w:cs="Times New Roman"/>
                <w:spacing w:val="4"/>
                <w:position w:val="14"/>
                <w:sz w:val="20"/>
                <w:szCs w:val="20"/>
                <w:highlight w:val="none"/>
              </w:rPr>
              <w:t xml:space="preserve">1. 11 </w:t>
            </w:r>
            <w:r>
              <w:rPr>
                <w:rFonts w:ascii="宋体" w:hAnsi="宋体" w:eastAsia="宋体" w:cs="宋体"/>
                <w:spacing w:val="4"/>
                <w:position w:val="14"/>
                <w:sz w:val="20"/>
                <w:szCs w:val="20"/>
                <w:highlight w:val="none"/>
              </w:rPr>
              <w:t>款的</w:t>
            </w:r>
            <w:r>
              <w:rPr>
                <w:rFonts w:ascii="宋体" w:hAnsi="宋体" w:eastAsia="宋体" w:cs="宋体"/>
                <w:spacing w:val="1"/>
                <w:position w:val="14"/>
                <w:sz w:val="20"/>
                <w:szCs w:val="20"/>
                <w:highlight w:val="none"/>
              </w:rPr>
              <w:t>规</w:t>
            </w:r>
            <w:r>
              <w:rPr>
                <w:rFonts w:ascii="宋体" w:hAnsi="宋体" w:eastAsia="宋体" w:cs="宋体"/>
                <w:spacing w:val="-3"/>
                <w:sz w:val="20"/>
                <w:szCs w:val="20"/>
                <w:highlight w:val="none"/>
              </w:rPr>
              <w:t>定</w:t>
            </w:r>
            <w:r>
              <w:rPr>
                <w:rFonts w:ascii="宋体" w:hAnsi="宋体" w:eastAsia="宋体" w:cs="宋体"/>
                <w:spacing w:val="-2"/>
                <w:sz w:val="20"/>
                <w:szCs w:val="20"/>
                <w:highlight w:val="none"/>
              </w:rPr>
              <w:t>。</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1ADFF222">
            <w:pPr>
              <w:spacing w:line="289" w:lineRule="auto"/>
              <w:rPr>
                <w:rFonts w:ascii="Arial"/>
                <w:sz w:val="21"/>
                <w:highlight w:val="none"/>
              </w:rPr>
            </w:pPr>
          </w:p>
          <w:p w14:paraId="4DE11BAC">
            <w:pPr>
              <w:spacing w:line="290" w:lineRule="auto"/>
              <w:rPr>
                <w:rFonts w:ascii="Arial"/>
                <w:sz w:val="21"/>
                <w:highlight w:val="none"/>
              </w:rPr>
            </w:pPr>
          </w:p>
          <w:p w14:paraId="2EC7C2E3">
            <w:pPr>
              <w:spacing w:line="290" w:lineRule="auto"/>
              <w:rPr>
                <w:rFonts w:ascii="Arial"/>
                <w:sz w:val="21"/>
                <w:highlight w:val="none"/>
              </w:rPr>
            </w:pPr>
          </w:p>
          <w:p w14:paraId="664B6866">
            <w:pPr>
              <w:spacing w:before="58"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4</w:t>
            </w:r>
          </w:p>
        </w:tc>
        <w:tc>
          <w:tcPr>
            <w:tcW w:w="1113" w:type="dxa"/>
            <w:vAlign w:val="top"/>
          </w:tcPr>
          <w:p w14:paraId="688962C9">
            <w:pPr>
              <w:spacing w:line="289" w:lineRule="auto"/>
              <w:rPr>
                <w:rFonts w:ascii="Arial"/>
                <w:sz w:val="21"/>
                <w:highlight w:val="none"/>
              </w:rPr>
            </w:pPr>
          </w:p>
          <w:p w14:paraId="0ED865EE">
            <w:pPr>
              <w:spacing w:line="290" w:lineRule="auto"/>
              <w:rPr>
                <w:rFonts w:ascii="Arial"/>
                <w:sz w:val="21"/>
                <w:highlight w:val="none"/>
              </w:rPr>
            </w:pPr>
          </w:p>
          <w:p w14:paraId="6BF981F3">
            <w:pPr>
              <w:spacing w:line="290" w:lineRule="auto"/>
              <w:rPr>
                <w:rFonts w:ascii="Arial"/>
                <w:sz w:val="21"/>
                <w:highlight w:val="none"/>
              </w:rPr>
            </w:pPr>
          </w:p>
          <w:p w14:paraId="1D4CF663">
            <w:pPr>
              <w:spacing w:before="58" w:line="198" w:lineRule="auto"/>
              <w:ind w:left="420"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4"/>
                <w:sz w:val="20"/>
                <w:szCs w:val="20"/>
                <w:highlight w:val="none"/>
              </w:rPr>
              <w:t>.9</w:t>
            </w:r>
          </w:p>
        </w:tc>
        <w:tc>
          <w:tcPr>
            <w:tcW w:w="7644" w:type="dxa"/>
            <w:tcBorders>
              <w:right w:val="single" w:color="000000" w:sz="6" w:space="0"/>
            </w:tcBorders>
            <w:vAlign w:val="top"/>
          </w:tcPr>
          <w:p w14:paraId="12026C7F">
            <w:pPr>
              <w:spacing w:before="142" w:line="369" w:lineRule="auto"/>
              <w:ind w:left="110" w:right="47" w:firstLine="208"/>
              <w:rPr>
                <w:rFonts w:ascii="宋体" w:hAnsi="宋体" w:eastAsia="宋体" w:cs="宋体"/>
                <w:sz w:val="20"/>
                <w:szCs w:val="20"/>
                <w:highlight w:val="none"/>
              </w:rPr>
            </w:pP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程</w:t>
            </w:r>
            <w:r>
              <w:rPr>
                <w:rFonts w:ascii="宋体" w:hAnsi="宋体" w:eastAsia="宋体" w:cs="宋体"/>
                <w:spacing w:val="6"/>
                <w:sz w:val="20"/>
                <w:szCs w:val="20"/>
                <w:highlight w:val="none"/>
              </w:rPr>
              <w:t>价款应专款专用：经发包人提出申请后，发包人按合同约定支付给承包人的</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各</w:t>
            </w:r>
            <w:r>
              <w:rPr>
                <w:rFonts w:ascii="宋体" w:hAnsi="宋体" w:eastAsia="宋体" w:cs="宋体"/>
                <w:spacing w:val="2"/>
                <w:sz w:val="20"/>
                <w:szCs w:val="20"/>
                <w:highlight w:val="none"/>
              </w:rPr>
              <w:t>项价款应专用于合同工程。发包人支付的工程进度款应为本工程的专款专用资金，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不</w:t>
            </w:r>
            <w:r>
              <w:rPr>
                <w:rFonts w:ascii="宋体" w:hAnsi="宋体" w:eastAsia="宋体" w:cs="宋体"/>
                <w:spacing w:val="7"/>
                <w:sz w:val="20"/>
                <w:szCs w:val="20"/>
                <w:highlight w:val="none"/>
              </w:rPr>
              <w:t>得</w:t>
            </w:r>
            <w:r>
              <w:rPr>
                <w:rFonts w:ascii="宋体" w:hAnsi="宋体" w:eastAsia="宋体" w:cs="宋体"/>
                <w:spacing w:val="6"/>
                <w:sz w:val="20"/>
                <w:szCs w:val="20"/>
                <w:highlight w:val="none"/>
              </w:rPr>
              <w:t>转移或用于其他工程。发包人及其派出机构有权不定期对承包人工程资金使用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情</w:t>
            </w:r>
            <w:r>
              <w:rPr>
                <w:rFonts w:ascii="宋体" w:hAnsi="宋体" w:eastAsia="宋体" w:cs="宋体"/>
                <w:spacing w:val="7"/>
                <w:sz w:val="20"/>
                <w:szCs w:val="20"/>
                <w:highlight w:val="none"/>
              </w:rPr>
              <w:t>况</w:t>
            </w:r>
            <w:r>
              <w:rPr>
                <w:rFonts w:ascii="宋体" w:hAnsi="宋体" w:eastAsia="宋体" w:cs="宋体"/>
                <w:spacing w:val="6"/>
                <w:sz w:val="20"/>
                <w:szCs w:val="20"/>
                <w:highlight w:val="none"/>
              </w:rPr>
              <w:t>进行检查，发现问题及时责令承包人限期改正，否则，将终止支付，直至承包</w:t>
            </w:r>
          </w:p>
          <w:p w14:paraId="6A1DE2C6">
            <w:pPr>
              <w:spacing w:line="227" w:lineRule="auto"/>
              <w:ind w:left="111" w:leftChars="0"/>
              <w:rPr>
                <w:rFonts w:ascii="宋体" w:hAnsi="宋体" w:eastAsia="宋体" w:cs="宋体"/>
                <w:spacing w:val="-3"/>
                <w:sz w:val="20"/>
                <w:szCs w:val="20"/>
                <w:highlight w:val="none"/>
              </w:rPr>
            </w:pPr>
            <w:r>
              <w:rPr>
                <w:rFonts w:ascii="宋体" w:hAnsi="宋体" w:eastAsia="宋体" w:cs="宋体"/>
                <w:spacing w:val="6"/>
                <w:sz w:val="20"/>
                <w:szCs w:val="20"/>
                <w:highlight w:val="none"/>
              </w:rPr>
              <w:t>人</w:t>
            </w:r>
            <w:r>
              <w:rPr>
                <w:rFonts w:ascii="宋体" w:hAnsi="宋体" w:eastAsia="宋体" w:cs="宋体"/>
                <w:spacing w:val="4"/>
                <w:sz w:val="20"/>
                <w:szCs w:val="20"/>
                <w:highlight w:val="none"/>
              </w:rPr>
              <w:t>改</w:t>
            </w:r>
            <w:r>
              <w:rPr>
                <w:rFonts w:ascii="宋体" w:hAnsi="宋体" w:eastAsia="宋体" w:cs="宋体"/>
                <w:spacing w:val="3"/>
                <w:sz w:val="20"/>
                <w:szCs w:val="20"/>
                <w:highlight w:val="none"/>
              </w:rPr>
              <w:t>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AD6AA43">
            <w:pPr>
              <w:spacing w:line="252" w:lineRule="auto"/>
              <w:rPr>
                <w:rFonts w:ascii="Arial"/>
                <w:sz w:val="21"/>
                <w:highlight w:val="none"/>
              </w:rPr>
            </w:pPr>
          </w:p>
          <w:p w14:paraId="692204CD">
            <w:pPr>
              <w:spacing w:line="253" w:lineRule="auto"/>
              <w:rPr>
                <w:rFonts w:ascii="Arial"/>
                <w:sz w:val="21"/>
                <w:highlight w:val="none"/>
              </w:rPr>
            </w:pPr>
          </w:p>
          <w:p w14:paraId="77B87BCE">
            <w:pPr>
              <w:spacing w:line="253" w:lineRule="auto"/>
              <w:rPr>
                <w:rFonts w:ascii="Arial"/>
                <w:sz w:val="21"/>
                <w:highlight w:val="none"/>
              </w:rPr>
            </w:pPr>
          </w:p>
          <w:p w14:paraId="724F8CF4">
            <w:pPr>
              <w:spacing w:line="253" w:lineRule="auto"/>
              <w:rPr>
                <w:rFonts w:ascii="Arial"/>
                <w:sz w:val="21"/>
                <w:highlight w:val="none"/>
              </w:rPr>
            </w:pPr>
          </w:p>
          <w:p w14:paraId="5C858972">
            <w:pPr>
              <w:spacing w:line="253" w:lineRule="auto"/>
              <w:rPr>
                <w:rFonts w:ascii="Arial"/>
                <w:sz w:val="21"/>
                <w:highlight w:val="none"/>
              </w:rPr>
            </w:pPr>
          </w:p>
          <w:p w14:paraId="6F7AC450">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5</w:t>
            </w:r>
          </w:p>
        </w:tc>
        <w:tc>
          <w:tcPr>
            <w:tcW w:w="1113" w:type="dxa"/>
            <w:vAlign w:val="top"/>
          </w:tcPr>
          <w:p w14:paraId="26764E81">
            <w:pPr>
              <w:spacing w:line="252" w:lineRule="auto"/>
              <w:rPr>
                <w:rFonts w:ascii="Arial"/>
                <w:sz w:val="21"/>
                <w:highlight w:val="none"/>
              </w:rPr>
            </w:pPr>
          </w:p>
          <w:p w14:paraId="6B0CA958">
            <w:pPr>
              <w:spacing w:line="253" w:lineRule="auto"/>
              <w:rPr>
                <w:rFonts w:ascii="Arial"/>
                <w:sz w:val="21"/>
                <w:highlight w:val="none"/>
              </w:rPr>
            </w:pPr>
          </w:p>
          <w:p w14:paraId="15B13FA0">
            <w:pPr>
              <w:spacing w:line="253" w:lineRule="auto"/>
              <w:rPr>
                <w:rFonts w:ascii="Arial"/>
                <w:sz w:val="21"/>
                <w:highlight w:val="none"/>
              </w:rPr>
            </w:pPr>
          </w:p>
          <w:p w14:paraId="3796C406">
            <w:pPr>
              <w:spacing w:line="253" w:lineRule="auto"/>
              <w:rPr>
                <w:rFonts w:ascii="Arial"/>
                <w:sz w:val="21"/>
                <w:highlight w:val="none"/>
              </w:rPr>
            </w:pPr>
          </w:p>
          <w:p w14:paraId="2F5227A8">
            <w:pPr>
              <w:spacing w:line="253" w:lineRule="auto"/>
              <w:rPr>
                <w:rFonts w:ascii="Arial"/>
                <w:sz w:val="21"/>
                <w:highlight w:val="none"/>
              </w:rPr>
            </w:pPr>
          </w:p>
          <w:p w14:paraId="69BD1B5E">
            <w:pPr>
              <w:spacing w:before="57" w:line="195" w:lineRule="auto"/>
              <w:ind w:left="367"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10"/>
                <w:sz w:val="20"/>
                <w:szCs w:val="20"/>
                <w:highlight w:val="none"/>
              </w:rPr>
              <w:t>4</w:t>
            </w:r>
            <w:r>
              <w:rPr>
                <w:rFonts w:ascii="Times New Roman" w:hAnsi="Times New Roman" w:eastAsia="Times New Roman" w:cs="Times New Roman"/>
                <w:spacing w:val="-7"/>
                <w:sz w:val="20"/>
                <w:szCs w:val="20"/>
                <w:highlight w:val="none"/>
              </w:rPr>
              <w:t>. 13</w:t>
            </w:r>
          </w:p>
        </w:tc>
        <w:tc>
          <w:tcPr>
            <w:tcW w:w="7644" w:type="dxa"/>
            <w:tcBorders>
              <w:right w:val="single" w:color="000000" w:sz="6" w:space="0"/>
            </w:tcBorders>
            <w:vAlign w:val="top"/>
          </w:tcPr>
          <w:p w14:paraId="1D31B5B8">
            <w:pPr>
              <w:spacing w:before="159" w:line="369" w:lineRule="auto"/>
              <w:ind w:left="109" w:right="102" w:firstLine="420"/>
              <w:rPr>
                <w:rFonts w:ascii="宋体" w:hAnsi="宋体" w:eastAsia="宋体" w:cs="宋体"/>
                <w:sz w:val="20"/>
                <w:szCs w:val="20"/>
                <w:highlight w:val="none"/>
              </w:rPr>
            </w:pPr>
            <w:r>
              <w:rPr>
                <w:rFonts w:ascii="宋体" w:hAnsi="宋体" w:eastAsia="宋体" w:cs="宋体"/>
                <w:spacing w:val="18"/>
                <w:sz w:val="20"/>
                <w:szCs w:val="20"/>
                <w:highlight w:val="none"/>
              </w:rPr>
              <w:t>承</w:t>
            </w:r>
            <w:r>
              <w:rPr>
                <w:rFonts w:ascii="宋体" w:hAnsi="宋体" w:eastAsia="宋体" w:cs="宋体"/>
                <w:spacing w:val="12"/>
                <w:sz w:val="20"/>
                <w:szCs w:val="20"/>
                <w:highlight w:val="none"/>
              </w:rPr>
              <w:t>包人为国有控股或参股企业的，承包人应按规定在项目现场设立基层党组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。承包人为非国有控股或参股企业的，承包人应创造条件使党员能够参加党组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生活并接受相应管理。承包人应在项目现场设立基层党组织，积极组织党员学</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习</w:t>
            </w:r>
            <w:r>
              <w:rPr>
                <w:rFonts w:ascii="宋体" w:hAnsi="宋体" w:eastAsia="宋体" w:cs="宋体"/>
                <w:spacing w:val="13"/>
                <w:sz w:val="20"/>
                <w:szCs w:val="20"/>
                <w:highlight w:val="none"/>
              </w:rPr>
              <w:t>，</w:t>
            </w:r>
            <w:r>
              <w:rPr>
                <w:rFonts w:ascii="宋体" w:hAnsi="宋体" w:eastAsia="宋体" w:cs="宋体"/>
                <w:spacing w:val="11"/>
                <w:sz w:val="20"/>
                <w:szCs w:val="20"/>
                <w:highlight w:val="none"/>
              </w:rPr>
              <w:t>承办党建工作室 (党员之家) ，建立党建工作制度、明确“两学一做”常态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化</w:t>
            </w:r>
            <w:r>
              <w:rPr>
                <w:rFonts w:ascii="宋体" w:hAnsi="宋体" w:eastAsia="宋体" w:cs="宋体"/>
                <w:spacing w:val="12"/>
                <w:sz w:val="20"/>
                <w:szCs w:val="20"/>
                <w:highlight w:val="none"/>
              </w:rPr>
              <w:t>制度化建设目标和任务、明确党组织机构设置、党组织负责人及党务工作人员</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配</w:t>
            </w:r>
            <w:r>
              <w:rPr>
                <w:rFonts w:ascii="宋体" w:hAnsi="宋体" w:eastAsia="宋体" w:cs="宋体"/>
                <w:spacing w:val="12"/>
                <w:sz w:val="20"/>
                <w:szCs w:val="20"/>
                <w:highlight w:val="none"/>
              </w:rPr>
              <w:t>备情况，编制党务工作开展预案，并按照预案要求在项目实施过程中同步开展</w:t>
            </w:r>
          </w:p>
          <w:p w14:paraId="7BFAF6DE">
            <w:pPr>
              <w:spacing w:line="222" w:lineRule="auto"/>
              <w:ind w:left="110" w:leftChars="0"/>
              <w:rPr>
                <w:rFonts w:ascii="宋体" w:hAnsi="宋体" w:eastAsia="宋体" w:cs="宋体"/>
                <w:spacing w:val="-3"/>
                <w:sz w:val="20"/>
                <w:szCs w:val="20"/>
                <w:highlight w:val="none"/>
              </w:rPr>
            </w:pPr>
            <w:r>
              <w:rPr>
                <w:rFonts w:ascii="宋体" w:hAnsi="宋体" w:eastAsia="宋体" w:cs="宋体"/>
                <w:spacing w:val="12"/>
                <w:sz w:val="20"/>
                <w:szCs w:val="20"/>
                <w:highlight w:val="none"/>
              </w:rPr>
              <w:t>党</w:t>
            </w:r>
            <w:r>
              <w:rPr>
                <w:rFonts w:ascii="宋体" w:hAnsi="宋体" w:eastAsia="宋体" w:cs="宋体"/>
                <w:spacing w:val="9"/>
                <w:sz w:val="20"/>
                <w:szCs w:val="20"/>
                <w:highlight w:val="none"/>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6BCB88F">
            <w:pPr>
              <w:spacing w:line="241" w:lineRule="auto"/>
              <w:rPr>
                <w:rFonts w:ascii="Arial"/>
                <w:sz w:val="21"/>
                <w:highlight w:val="none"/>
              </w:rPr>
            </w:pPr>
          </w:p>
          <w:p w14:paraId="2696FC5C">
            <w:pPr>
              <w:spacing w:line="241" w:lineRule="auto"/>
              <w:rPr>
                <w:rFonts w:ascii="Arial"/>
                <w:sz w:val="21"/>
                <w:highlight w:val="none"/>
              </w:rPr>
            </w:pPr>
          </w:p>
          <w:p w14:paraId="05182175">
            <w:pPr>
              <w:spacing w:line="241" w:lineRule="auto"/>
              <w:rPr>
                <w:rFonts w:ascii="Arial"/>
                <w:sz w:val="21"/>
                <w:highlight w:val="none"/>
              </w:rPr>
            </w:pPr>
          </w:p>
          <w:p w14:paraId="4CFB6F66">
            <w:pPr>
              <w:spacing w:line="241" w:lineRule="auto"/>
              <w:rPr>
                <w:rFonts w:ascii="Arial"/>
                <w:sz w:val="21"/>
                <w:highlight w:val="none"/>
              </w:rPr>
            </w:pPr>
          </w:p>
          <w:p w14:paraId="44612258">
            <w:pPr>
              <w:spacing w:line="241" w:lineRule="auto"/>
              <w:rPr>
                <w:rFonts w:ascii="Arial"/>
                <w:sz w:val="21"/>
                <w:highlight w:val="none"/>
              </w:rPr>
            </w:pPr>
          </w:p>
          <w:p w14:paraId="5528966D">
            <w:pPr>
              <w:spacing w:line="241" w:lineRule="auto"/>
              <w:rPr>
                <w:rFonts w:ascii="Arial"/>
                <w:sz w:val="21"/>
                <w:highlight w:val="none"/>
              </w:rPr>
            </w:pPr>
          </w:p>
          <w:p w14:paraId="7FEB38EE">
            <w:pPr>
              <w:spacing w:line="242" w:lineRule="auto"/>
              <w:rPr>
                <w:rFonts w:ascii="Arial"/>
                <w:sz w:val="21"/>
                <w:highlight w:val="none"/>
              </w:rPr>
            </w:pPr>
          </w:p>
          <w:p w14:paraId="38B2AD89">
            <w:pPr>
              <w:spacing w:line="242" w:lineRule="auto"/>
              <w:rPr>
                <w:rFonts w:ascii="Arial"/>
                <w:sz w:val="21"/>
                <w:highlight w:val="none"/>
              </w:rPr>
            </w:pPr>
          </w:p>
          <w:p w14:paraId="7A756E28">
            <w:pPr>
              <w:spacing w:line="242" w:lineRule="auto"/>
              <w:rPr>
                <w:rFonts w:ascii="Arial"/>
                <w:sz w:val="21"/>
                <w:highlight w:val="none"/>
              </w:rPr>
            </w:pPr>
          </w:p>
          <w:p w14:paraId="4FF9754F">
            <w:pPr>
              <w:spacing w:line="242" w:lineRule="auto"/>
              <w:rPr>
                <w:rFonts w:ascii="Arial"/>
                <w:sz w:val="21"/>
                <w:highlight w:val="none"/>
              </w:rPr>
            </w:pPr>
          </w:p>
          <w:p w14:paraId="5C349223">
            <w:pPr>
              <w:spacing w:line="242" w:lineRule="auto"/>
              <w:rPr>
                <w:rFonts w:ascii="Arial"/>
                <w:sz w:val="21"/>
                <w:highlight w:val="none"/>
              </w:rPr>
            </w:pPr>
          </w:p>
          <w:p w14:paraId="41452875">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6</w:t>
            </w:r>
          </w:p>
        </w:tc>
        <w:tc>
          <w:tcPr>
            <w:tcW w:w="1113" w:type="dxa"/>
            <w:vAlign w:val="top"/>
          </w:tcPr>
          <w:p w14:paraId="54F58786">
            <w:pPr>
              <w:spacing w:line="241" w:lineRule="auto"/>
              <w:rPr>
                <w:rFonts w:ascii="Arial"/>
                <w:sz w:val="21"/>
                <w:highlight w:val="none"/>
              </w:rPr>
            </w:pPr>
          </w:p>
          <w:p w14:paraId="22E1568D">
            <w:pPr>
              <w:spacing w:line="241" w:lineRule="auto"/>
              <w:rPr>
                <w:rFonts w:ascii="Arial"/>
                <w:sz w:val="21"/>
                <w:highlight w:val="none"/>
              </w:rPr>
            </w:pPr>
          </w:p>
          <w:p w14:paraId="6E0233F4">
            <w:pPr>
              <w:spacing w:line="241" w:lineRule="auto"/>
              <w:rPr>
                <w:rFonts w:ascii="Arial"/>
                <w:sz w:val="21"/>
                <w:highlight w:val="none"/>
              </w:rPr>
            </w:pPr>
          </w:p>
          <w:p w14:paraId="2C96819C">
            <w:pPr>
              <w:spacing w:line="241" w:lineRule="auto"/>
              <w:rPr>
                <w:rFonts w:ascii="Arial"/>
                <w:sz w:val="21"/>
                <w:highlight w:val="none"/>
              </w:rPr>
            </w:pPr>
          </w:p>
          <w:p w14:paraId="4068CF43">
            <w:pPr>
              <w:spacing w:line="241" w:lineRule="auto"/>
              <w:rPr>
                <w:rFonts w:ascii="Arial"/>
                <w:sz w:val="21"/>
                <w:highlight w:val="none"/>
              </w:rPr>
            </w:pPr>
          </w:p>
          <w:p w14:paraId="03C8798C">
            <w:pPr>
              <w:spacing w:line="241" w:lineRule="auto"/>
              <w:rPr>
                <w:rFonts w:ascii="Arial"/>
                <w:sz w:val="21"/>
                <w:highlight w:val="none"/>
              </w:rPr>
            </w:pPr>
          </w:p>
          <w:p w14:paraId="08F2F7B6">
            <w:pPr>
              <w:spacing w:line="242" w:lineRule="auto"/>
              <w:rPr>
                <w:rFonts w:ascii="Arial"/>
                <w:sz w:val="21"/>
                <w:highlight w:val="none"/>
              </w:rPr>
            </w:pPr>
          </w:p>
          <w:p w14:paraId="19EDEEDE">
            <w:pPr>
              <w:spacing w:line="242" w:lineRule="auto"/>
              <w:rPr>
                <w:rFonts w:ascii="Arial"/>
                <w:sz w:val="21"/>
                <w:highlight w:val="none"/>
              </w:rPr>
            </w:pPr>
          </w:p>
          <w:p w14:paraId="4CAA5B89">
            <w:pPr>
              <w:spacing w:line="242" w:lineRule="auto"/>
              <w:rPr>
                <w:rFonts w:ascii="Arial"/>
                <w:sz w:val="21"/>
                <w:highlight w:val="none"/>
              </w:rPr>
            </w:pPr>
          </w:p>
          <w:p w14:paraId="75DC5958">
            <w:pPr>
              <w:spacing w:line="242" w:lineRule="auto"/>
              <w:rPr>
                <w:rFonts w:ascii="Arial"/>
                <w:sz w:val="21"/>
                <w:highlight w:val="none"/>
              </w:rPr>
            </w:pPr>
          </w:p>
          <w:p w14:paraId="0E1B1148">
            <w:pPr>
              <w:spacing w:line="242" w:lineRule="auto"/>
              <w:rPr>
                <w:rFonts w:ascii="Arial"/>
                <w:sz w:val="21"/>
                <w:highlight w:val="none"/>
              </w:rPr>
            </w:pPr>
          </w:p>
          <w:p w14:paraId="2505E04A">
            <w:pPr>
              <w:spacing w:before="58"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7"/>
                <w:sz w:val="20"/>
                <w:szCs w:val="20"/>
                <w:highlight w:val="none"/>
              </w:rPr>
              <w:t>5. 1.2</w:t>
            </w:r>
          </w:p>
        </w:tc>
        <w:tc>
          <w:tcPr>
            <w:tcW w:w="7644" w:type="dxa"/>
            <w:tcBorders>
              <w:right w:val="single" w:color="000000" w:sz="6" w:space="0"/>
            </w:tcBorders>
            <w:vAlign w:val="top"/>
          </w:tcPr>
          <w:p w14:paraId="69714F4B">
            <w:pPr>
              <w:spacing w:before="140" w:line="369" w:lineRule="auto"/>
              <w:ind w:left="108" w:right="99" w:firstLine="427"/>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1</w:t>
            </w:r>
            <w:r>
              <w:rPr>
                <w:rFonts w:ascii="宋体" w:hAnsi="宋体" w:eastAsia="宋体" w:cs="宋体"/>
                <w:spacing w:val="3"/>
                <w:sz w:val="20"/>
                <w:szCs w:val="20"/>
                <w:highlight w:val="none"/>
              </w:rPr>
              <w:t>、为确保本合同工程的施工质量，在合同履行过程中，发包人将结合国</w:t>
            </w:r>
            <w:r>
              <w:rPr>
                <w:rFonts w:ascii="宋体" w:hAnsi="宋体" w:eastAsia="宋体" w:cs="宋体"/>
                <w:spacing w:val="2"/>
                <w:sz w:val="20"/>
                <w:szCs w:val="20"/>
                <w:highlight w:val="none"/>
              </w:rPr>
              <w:t>内</w:t>
            </w:r>
            <w:r>
              <w:rPr>
                <w:rFonts w:ascii="宋体" w:hAnsi="宋体" w:eastAsia="宋体" w:cs="宋体"/>
                <w:sz w:val="20"/>
                <w:szCs w:val="20"/>
                <w:highlight w:val="none"/>
              </w:rPr>
              <w:t xml:space="preserve">工程 </w:t>
            </w:r>
            <w:r>
              <w:rPr>
                <w:rFonts w:ascii="宋体" w:hAnsi="宋体" w:eastAsia="宋体" w:cs="宋体"/>
                <w:spacing w:val="12"/>
                <w:sz w:val="20"/>
                <w:szCs w:val="20"/>
                <w:highlight w:val="none"/>
              </w:rPr>
              <w:t>施</w:t>
            </w:r>
            <w:r>
              <w:rPr>
                <w:rFonts w:ascii="宋体" w:hAnsi="宋体" w:eastAsia="宋体" w:cs="宋体"/>
                <w:spacing w:val="9"/>
                <w:sz w:val="20"/>
                <w:szCs w:val="20"/>
                <w:highlight w:val="none"/>
              </w:rPr>
              <w:t>工</w:t>
            </w:r>
            <w:r>
              <w:rPr>
                <w:rFonts w:ascii="宋体" w:hAnsi="宋体" w:eastAsia="宋体" w:cs="宋体"/>
                <w:spacing w:val="6"/>
                <w:sz w:val="20"/>
                <w:szCs w:val="20"/>
                <w:highlight w:val="none"/>
              </w:rPr>
              <w:t>现状，以及工程实际需要，对部分施工流程或工艺等提出特殊的设备要求，承</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包人应予实施，由此所增加的设备购置费或租赁费用 (合同另有约定除外) 发包</w:t>
            </w:r>
            <w:r>
              <w:rPr>
                <w:rFonts w:ascii="宋体" w:hAnsi="宋体" w:eastAsia="宋体" w:cs="宋体"/>
                <w:spacing w:val="3"/>
                <w:sz w:val="20"/>
                <w:szCs w:val="20"/>
                <w:highlight w:val="none"/>
              </w:rPr>
              <w:t>人</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不另行支付。</w:t>
            </w:r>
          </w:p>
          <w:p w14:paraId="64EEDC82">
            <w:pPr>
              <w:spacing w:before="1" w:line="369" w:lineRule="auto"/>
              <w:ind w:left="109" w:right="99" w:firstLine="406"/>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、为保</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工程质量，对于本项目所需的主要工程材料，承包人应选择信誉良好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的</w:t>
            </w:r>
            <w:r>
              <w:rPr>
                <w:rFonts w:ascii="宋体" w:hAnsi="宋体" w:eastAsia="宋体" w:cs="宋体"/>
                <w:spacing w:val="8"/>
                <w:sz w:val="20"/>
                <w:szCs w:val="20"/>
                <w:highlight w:val="none"/>
              </w:rPr>
              <w:t>材</w:t>
            </w:r>
            <w:r>
              <w:rPr>
                <w:rFonts w:ascii="宋体" w:hAnsi="宋体" w:eastAsia="宋体" w:cs="宋体"/>
                <w:spacing w:val="6"/>
                <w:sz w:val="20"/>
                <w:szCs w:val="20"/>
                <w:highlight w:val="none"/>
              </w:rPr>
              <w:t>料供应商或制造商或加工生产商。在与主要工程材料供应商或制造商或加工生</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产</w:t>
            </w:r>
            <w:r>
              <w:rPr>
                <w:rFonts w:ascii="宋体" w:hAnsi="宋体" w:eastAsia="宋体" w:cs="宋体"/>
                <w:spacing w:val="8"/>
                <w:sz w:val="20"/>
                <w:szCs w:val="20"/>
                <w:highlight w:val="none"/>
              </w:rPr>
              <w:t>商</w:t>
            </w:r>
            <w:r>
              <w:rPr>
                <w:rFonts w:ascii="宋体" w:hAnsi="宋体" w:eastAsia="宋体" w:cs="宋体"/>
                <w:spacing w:val="6"/>
                <w:sz w:val="20"/>
                <w:szCs w:val="20"/>
                <w:highlight w:val="none"/>
              </w:rPr>
              <w:t>签订供货合同前，承包人必须将供应商或制造商或加工生产商的名单、相应资</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格</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材料品质报告等送发包人审查批准后，方可将主要工程材料用于实体工程，否</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则</w:t>
            </w:r>
            <w:r>
              <w:rPr>
                <w:rFonts w:ascii="宋体" w:hAnsi="宋体" w:eastAsia="宋体" w:cs="宋体"/>
                <w:spacing w:val="8"/>
                <w:sz w:val="20"/>
                <w:szCs w:val="20"/>
                <w:highlight w:val="none"/>
              </w:rPr>
              <w:t>发</w:t>
            </w:r>
            <w:r>
              <w:rPr>
                <w:rFonts w:ascii="宋体" w:hAnsi="宋体" w:eastAsia="宋体" w:cs="宋体"/>
                <w:spacing w:val="6"/>
                <w:sz w:val="20"/>
                <w:szCs w:val="20"/>
                <w:highlight w:val="none"/>
              </w:rPr>
              <w:t>包人将视其为不合格工程并要求承包人返工重作或进行补救处理，由此造成的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费用增加和 (或) 工期延误由承包人承担</w:t>
            </w:r>
            <w:r>
              <w:rPr>
                <w:rFonts w:ascii="宋体" w:hAnsi="宋体" w:eastAsia="宋体" w:cs="宋体"/>
                <w:spacing w:val="2"/>
                <w:sz w:val="20"/>
                <w:szCs w:val="20"/>
                <w:highlight w:val="none"/>
              </w:rPr>
              <w:t>。</w:t>
            </w:r>
          </w:p>
          <w:p w14:paraId="5DB88539">
            <w:pPr>
              <w:spacing w:before="1" w:line="368" w:lineRule="auto"/>
              <w:ind w:left="132" w:right="151" w:firstLine="386"/>
              <w:rPr>
                <w:rFonts w:ascii="宋体" w:hAnsi="宋体" w:eastAsia="宋体" w:cs="宋体"/>
                <w:sz w:val="20"/>
                <w:szCs w:val="20"/>
                <w:highlight w:val="none"/>
              </w:rPr>
            </w:pPr>
            <w:r>
              <w:rPr>
                <w:rFonts w:ascii="宋体" w:hAnsi="宋体" w:eastAsia="宋体" w:cs="宋体"/>
                <w:spacing w:val="8"/>
                <w:sz w:val="20"/>
                <w:szCs w:val="20"/>
                <w:highlight w:val="none"/>
              </w:rPr>
              <w:t>承包人应与供</w:t>
            </w:r>
            <w:r>
              <w:rPr>
                <w:rFonts w:ascii="宋体" w:hAnsi="宋体" w:eastAsia="宋体" w:cs="宋体"/>
                <w:spacing w:val="7"/>
                <w:sz w:val="20"/>
                <w:szCs w:val="20"/>
                <w:highlight w:val="none"/>
              </w:rPr>
              <w:t>应</w:t>
            </w:r>
            <w:r>
              <w:rPr>
                <w:rFonts w:ascii="宋体" w:hAnsi="宋体" w:eastAsia="宋体" w:cs="宋体"/>
                <w:spacing w:val="4"/>
                <w:sz w:val="20"/>
                <w:szCs w:val="20"/>
                <w:highlight w:val="none"/>
              </w:rPr>
              <w:t>商或制造商或加工生产商签订供货合同，明确双方的责权利，</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以及供</w:t>
            </w:r>
            <w:r>
              <w:rPr>
                <w:rFonts w:ascii="宋体" w:hAnsi="宋体" w:eastAsia="宋体" w:cs="宋体"/>
                <w:spacing w:val="4"/>
                <w:sz w:val="20"/>
                <w:szCs w:val="20"/>
                <w:highlight w:val="none"/>
              </w:rPr>
              <w:t>货方的供货时间与供货质量的保证措施和要求。</w:t>
            </w:r>
          </w:p>
          <w:p w14:paraId="04AB0AF6">
            <w:pPr>
              <w:spacing w:line="400" w:lineRule="exact"/>
              <w:ind w:left="520"/>
              <w:rPr>
                <w:rFonts w:ascii="宋体" w:hAnsi="宋体" w:eastAsia="宋体" w:cs="宋体"/>
                <w:sz w:val="20"/>
                <w:szCs w:val="20"/>
                <w:highlight w:val="none"/>
              </w:rPr>
            </w:pPr>
            <w:r>
              <w:rPr>
                <w:rFonts w:ascii="Times New Roman" w:hAnsi="Times New Roman" w:eastAsia="Times New Roman" w:cs="Times New Roman"/>
                <w:spacing w:val="6"/>
                <w:position w:val="15"/>
                <w:sz w:val="20"/>
                <w:szCs w:val="20"/>
                <w:highlight w:val="none"/>
              </w:rPr>
              <w:t>3</w:t>
            </w:r>
            <w:r>
              <w:rPr>
                <w:rFonts w:ascii="宋体" w:hAnsi="宋体" w:eastAsia="宋体" w:cs="宋体"/>
                <w:spacing w:val="6"/>
                <w:position w:val="15"/>
                <w:sz w:val="20"/>
                <w:szCs w:val="20"/>
                <w:highlight w:val="none"/>
              </w:rPr>
              <w:t>、</w:t>
            </w:r>
            <w:r>
              <w:rPr>
                <w:rFonts w:ascii="宋体" w:hAnsi="宋体" w:eastAsia="宋体" w:cs="宋体"/>
                <w:spacing w:val="5"/>
                <w:position w:val="15"/>
                <w:sz w:val="20"/>
                <w:szCs w:val="20"/>
                <w:highlight w:val="none"/>
              </w:rPr>
              <w:t>经</w:t>
            </w:r>
            <w:r>
              <w:rPr>
                <w:rFonts w:ascii="宋体" w:hAnsi="宋体" w:eastAsia="宋体" w:cs="宋体"/>
                <w:spacing w:val="3"/>
                <w:position w:val="15"/>
                <w:sz w:val="20"/>
                <w:szCs w:val="20"/>
                <w:highlight w:val="none"/>
              </w:rPr>
              <w:t>监理人鉴定质量不合格并令其清除出场的材料，其费用均应由承包人自行</w:t>
            </w:r>
          </w:p>
          <w:p w14:paraId="663D2244">
            <w:pPr>
              <w:spacing w:before="1" w:line="224" w:lineRule="auto"/>
              <w:ind w:left="117" w:leftChars="0"/>
              <w:rPr>
                <w:rFonts w:ascii="宋体" w:hAnsi="宋体" w:eastAsia="宋体" w:cs="宋体"/>
                <w:spacing w:val="-3"/>
                <w:sz w:val="20"/>
                <w:szCs w:val="20"/>
                <w:highlight w:val="none"/>
              </w:rPr>
            </w:pPr>
            <w:r>
              <w:rPr>
                <w:rFonts w:ascii="宋体" w:hAnsi="宋体" w:eastAsia="宋体" w:cs="宋体"/>
                <w:spacing w:val="-1"/>
                <w:sz w:val="20"/>
                <w:szCs w:val="20"/>
                <w:highlight w:val="none"/>
              </w:rPr>
              <w:t>负</w:t>
            </w:r>
            <w:r>
              <w:rPr>
                <w:rFonts w:ascii="宋体" w:hAnsi="宋体" w:eastAsia="宋体" w:cs="宋体"/>
                <w:sz w:val="20"/>
                <w:szCs w:val="20"/>
                <w:highlight w:val="none"/>
              </w:rPr>
              <w:t>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FD303CA">
            <w:pPr>
              <w:spacing w:line="272" w:lineRule="auto"/>
              <w:rPr>
                <w:rFonts w:ascii="Arial"/>
                <w:sz w:val="21"/>
                <w:highlight w:val="none"/>
              </w:rPr>
            </w:pPr>
          </w:p>
          <w:p w14:paraId="34E5B983">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w:t>
            </w:r>
          </w:p>
        </w:tc>
        <w:tc>
          <w:tcPr>
            <w:tcW w:w="1113" w:type="dxa"/>
            <w:vAlign w:val="top"/>
          </w:tcPr>
          <w:p w14:paraId="01B4FBDA">
            <w:pPr>
              <w:spacing w:line="272" w:lineRule="auto"/>
              <w:rPr>
                <w:rFonts w:ascii="Arial"/>
                <w:sz w:val="21"/>
                <w:highlight w:val="none"/>
              </w:rPr>
            </w:pPr>
          </w:p>
          <w:p w14:paraId="5EC8B1CA">
            <w:pPr>
              <w:spacing w:before="57"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6"/>
                <w:sz w:val="20"/>
                <w:szCs w:val="20"/>
                <w:highlight w:val="none"/>
              </w:rPr>
              <w:t>5</w:t>
            </w:r>
            <w:r>
              <w:rPr>
                <w:rFonts w:ascii="Times New Roman" w:hAnsi="Times New Roman" w:eastAsia="Times New Roman" w:cs="Times New Roman"/>
                <w:spacing w:val="-4"/>
                <w:sz w:val="20"/>
                <w:szCs w:val="20"/>
                <w:highlight w:val="none"/>
              </w:rPr>
              <w:t>.</w:t>
            </w:r>
            <w:r>
              <w:rPr>
                <w:rFonts w:ascii="Times New Roman" w:hAnsi="Times New Roman" w:eastAsia="Times New Roman" w:cs="Times New Roman"/>
                <w:spacing w:val="-3"/>
                <w:sz w:val="20"/>
                <w:szCs w:val="20"/>
                <w:highlight w:val="none"/>
              </w:rPr>
              <w:t>2. 1</w:t>
            </w:r>
          </w:p>
        </w:tc>
        <w:tc>
          <w:tcPr>
            <w:tcW w:w="7644" w:type="dxa"/>
            <w:tcBorders>
              <w:right w:val="single" w:color="000000" w:sz="6" w:space="0"/>
            </w:tcBorders>
            <w:vAlign w:val="top"/>
          </w:tcPr>
          <w:p w14:paraId="1CA938F0">
            <w:pPr>
              <w:spacing w:before="141" w:line="227"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包</w:t>
            </w:r>
            <w:r>
              <w:rPr>
                <w:rFonts w:ascii="宋体" w:hAnsi="宋体" w:eastAsia="宋体" w:cs="宋体"/>
                <w:spacing w:val="8"/>
                <w:sz w:val="20"/>
                <w:szCs w:val="20"/>
                <w:highlight w:val="none"/>
              </w:rPr>
              <w:t>人是否提供材料或工程设备：</w:t>
            </w:r>
            <w:r>
              <w:rPr>
                <w:rFonts w:ascii="宋体" w:hAnsi="宋体" w:eastAsia="宋体" w:cs="宋体"/>
                <w:spacing w:val="8"/>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5FFA8584">
            <w:pPr>
              <w:spacing w:before="117" w:line="276" w:lineRule="exact"/>
              <w:ind w:left="350" w:leftChars="0"/>
              <w:rPr>
                <w:rFonts w:ascii="宋体" w:hAnsi="宋体" w:eastAsia="宋体" w:cs="宋体"/>
                <w:spacing w:val="-3"/>
                <w:sz w:val="20"/>
                <w:szCs w:val="20"/>
                <w:highlight w:val="none"/>
              </w:rPr>
            </w:pPr>
            <w:r>
              <w:rPr>
                <w:rFonts w:ascii="宋体" w:hAnsi="宋体" w:eastAsia="宋体" w:cs="宋体"/>
                <w:spacing w:val="10"/>
                <w:position w:val="1"/>
                <w:sz w:val="20"/>
                <w:szCs w:val="20"/>
                <w:highlight w:val="none"/>
              </w:rPr>
              <w:t>如</w:t>
            </w:r>
            <w:r>
              <w:rPr>
                <w:rFonts w:ascii="宋体" w:hAnsi="宋体" w:eastAsia="宋体" w:cs="宋体"/>
                <w:spacing w:val="8"/>
                <w:position w:val="1"/>
                <w:sz w:val="20"/>
                <w:szCs w:val="20"/>
                <w:highlight w:val="none"/>
              </w:rPr>
              <w:t>发</w:t>
            </w:r>
            <w:r>
              <w:rPr>
                <w:rFonts w:ascii="宋体" w:hAnsi="宋体" w:eastAsia="宋体" w:cs="宋体"/>
                <w:spacing w:val="5"/>
                <w:position w:val="1"/>
                <w:sz w:val="20"/>
                <w:szCs w:val="20"/>
                <w:highlight w:val="none"/>
              </w:rPr>
              <w:t xml:space="preserve">包人负责提供部分材料或工程设备，相关规定如下：  </w:t>
            </w:r>
            <w:r>
              <w:rPr>
                <w:rFonts w:ascii="Times New Roman" w:hAnsi="Times New Roman" w:eastAsia="Times New Roman" w:cs="Times New Roman"/>
                <w:spacing w:val="5"/>
                <w:position w:val="1"/>
                <w:sz w:val="20"/>
                <w:szCs w:val="20"/>
                <w:highlight w:val="none"/>
              </w:rPr>
              <w:t>/</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vAlign w:val="top"/>
          </w:tcPr>
          <w:p w14:paraId="6B751F37">
            <w:pPr>
              <w:spacing w:line="292" w:lineRule="auto"/>
              <w:rPr>
                <w:rFonts w:ascii="Arial"/>
                <w:sz w:val="21"/>
                <w:highlight w:val="none"/>
              </w:rPr>
            </w:pPr>
          </w:p>
          <w:p w14:paraId="50CCFDD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8</w:t>
            </w:r>
          </w:p>
        </w:tc>
        <w:tc>
          <w:tcPr>
            <w:tcW w:w="1113" w:type="dxa"/>
            <w:vAlign w:val="top"/>
          </w:tcPr>
          <w:p w14:paraId="0BF5B60A">
            <w:pPr>
              <w:spacing w:line="292" w:lineRule="auto"/>
              <w:rPr>
                <w:rFonts w:ascii="Arial"/>
                <w:sz w:val="21"/>
                <w:highlight w:val="none"/>
              </w:rPr>
            </w:pPr>
          </w:p>
          <w:p w14:paraId="0263D7E4">
            <w:pPr>
              <w:spacing w:before="58" w:line="195" w:lineRule="auto"/>
              <w:ind w:left="426"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6.2</w:t>
            </w:r>
          </w:p>
        </w:tc>
        <w:tc>
          <w:tcPr>
            <w:tcW w:w="7644" w:type="dxa"/>
            <w:tcBorders>
              <w:right w:val="single" w:color="000000" w:sz="6" w:space="0"/>
            </w:tcBorders>
            <w:vAlign w:val="top"/>
          </w:tcPr>
          <w:p w14:paraId="02C162B9">
            <w:pPr>
              <w:spacing w:before="159" w:line="227" w:lineRule="auto"/>
              <w:ind w:left="321"/>
              <w:rPr>
                <w:rFonts w:ascii="宋体" w:hAnsi="宋体" w:eastAsia="宋体" w:cs="宋体"/>
                <w:sz w:val="20"/>
                <w:szCs w:val="20"/>
                <w:highlight w:val="none"/>
              </w:rPr>
            </w:pPr>
            <w:r>
              <w:rPr>
                <w:rFonts w:ascii="宋体" w:hAnsi="宋体" w:eastAsia="宋体" w:cs="宋体"/>
                <w:spacing w:val="9"/>
                <w:sz w:val="20"/>
                <w:szCs w:val="20"/>
                <w:highlight w:val="none"/>
              </w:rPr>
              <w:t>发包人是否提供施工设备和临时设施：</w:t>
            </w:r>
            <w:r>
              <w:rPr>
                <w:rFonts w:ascii="宋体" w:hAnsi="宋体" w:eastAsia="宋体" w:cs="宋体"/>
                <w:spacing w:val="9"/>
                <w:sz w:val="20"/>
                <w:szCs w:val="20"/>
                <w:highlight w:val="none"/>
                <w:u w:val="single" w:color="auto"/>
              </w:rPr>
              <w:t xml:space="preserve">  </w:t>
            </w:r>
            <w:r>
              <w:rPr>
                <w:rFonts w:ascii="宋体" w:hAnsi="宋体" w:eastAsia="宋体" w:cs="宋体"/>
                <w:spacing w:val="6"/>
                <w:sz w:val="20"/>
                <w:szCs w:val="20"/>
                <w:highlight w:val="none"/>
                <w:u w:val="single" w:color="auto"/>
              </w:rPr>
              <w:t>否</w:t>
            </w:r>
            <w:r>
              <w:rPr>
                <w:rFonts w:ascii="宋体" w:hAnsi="宋体" w:eastAsia="宋体" w:cs="宋体"/>
                <w:sz w:val="20"/>
                <w:szCs w:val="20"/>
                <w:highlight w:val="none"/>
                <w:u w:val="single" w:color="auto"/>
              </w:rPr>
              <w:t xml:space="preserve">  </w:t>
            </w:r>
          </w:p>
          <w:p w14:paraId="64D8F05D">
            <w:pPr>
              <w:spacing w:before="117" w:line="272" w:lineRule="auto"/>
              <w:ind w:left="321" w:leftChars="0"/>
              <w:rPr>
                <w:rFonts w:ascii="宋体" w:hAnsi="宋体" w:eastAsia="宋体" w:cs="宋体"/>
                <w:spacing w:val="10"/>
                <w:position w:val="1"/>
                <w:sz w:val="20"/>
                <w:szCs w:val="20"/>
                <w:highlight w:val="none"/>
              </w:rPr>
            </w:pPr>
            <w:r>
              <w:rPr>
                <w:rFonts w:ascii="宋体" w:hAnsi="宋体" w:eastAsia="宋体" w:cs="宋体"/>
                <w:spacing w:val="16"/>
                <w:sz w:val="20"/>
                <w:szCs w:val="20"/>
                <w:highlight w:val="none"/>
              </w:rPr>
              <w:t>如</w:t>
            </w:r>
            <w:r>
              <w:rPr>
                <w:rFonts w:ascii="宋体" w:hAnsi="宋体" w:eastAsia="宋体" w:cs="宋体"/>
                <w:spacing w:val="15"/>
                <w:sz w:val="20"/>
                <w:szCs w:val="20"/>
                <w:highlight w:val="none"/>
              </w:rPr>
              <w:t>发</w:t>
            </w:r>
            <w:r>
              <w:rPr>
                <w:rFonts w:ascii="宋体" w:hAnsi="宋体" w:eastAsia="宋体" w:cs="宋体"/>
                <w:spacing w:val="8"/>
                <w:sz w:val="20"/>
                <w:szCs w:val="20"/>
                <w:highlight w:val="none"/>
              </w:rPr>
              <w:t>包人负责提供部分施工设备和临时设施，相关规定如下：</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vAlign w:val="top"/>
          </w:tcPr>
          <w:p w14:paraId="171F8891">
            <w:pPr>
              <w:spacing w:line="273" w:lineRule="auto"/>
              <w:rPr>
                <w:rFonts w:ascii="Arial"/>
                <w:sz w:val="21"/>
                <w:highlight w:val="none"/>
              </w:rPr>
            </w:pPr>
          </w:p>
          <w:p w14:paraId="05B3708D">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9</w:t>
            </w:r>
          </w:p>
        </w:tc>
        <w:tc>
          <w:tcPr>
            <w:tcW w:w="1113" w:type="dxa"/>
            <w:vAlign w:val="top"/>
          </w:tcPr>
          <w:p w14:paraId="005FEA02">
            <w:pPr>
              <w:spacing w:line="273" w:lineRule="auto"/>
              <w:rPr>
                <w:rFonts w:ascii="Arial"/>
                <w:sz w:val="21"/>
                <w:highlight w:val="none"/>
              </w:rPr>
            </w:pPr>
          </w:p>
          <w:p w14:paraId="0F241314">
            <w:pPr>
              <w:spacing w:before="58" w:line="195" w:lineRule="auto"/>
              <w:ind w:left="35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6"/>
                <w:sz w:val="20"/>
                <w:szCs w:val="20"/>
                <w:highlight w:val="none"/>
              </w:rPr>
              <w:t>8</w:t>
            </w:r>
            <w:r>
              <w:rPr>
                <w:rFonts w:ascii="Times New Roman" w:hAnsi="Times New Roman" w:eastAsia="Times New Roman" w:cs="Times New Roman"/>
                <w:spacing w:val="5"/>
                <w:sz w:val="20"/>
                <w:szCs w:val="20"/>
                <w:highlight w:val="none"/>
              </w:rPr>
              <w:t>.1.1</w:t>
            </w:r>
          </w:p>
        </w:tc>
        <w:tc>
          <w:tcPr>
            <w:tcW w:w="7644" w:type="dxa"/>
            <w:tcBorders>
              <w:right w:val="single" w:color="000000" w:sz="6" w:space="0"/>
            </w:tcBorders>
            <w:vAlign w:val="top"/>
          </w:tcPr>
          <w:p w14:paraId="4F10CAB6">
            <w:pPr>
              <w:spacing w:before="104" w:line="321" w:lineRule="auto"/>
              <w:ind w:left="318" w:leftChars="0" w:right="938" w:rightChars="0" w:firstLine="32" w:firstLine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发包人提供测量基准点、基准线和水准点及其书面资料的期限：</w:t>
            </w:r>
            <w:r>
              <w:rPr>
                <w:rFonts w:ascii="Times New Roman" w:hAnsi="Times New Roman" w:eastAsia="Times New Roman" w:cs="Times New Roman"/>
                <w:spacing w:val="8"/>
                <w:sz w:val="20"/>
                <w:szCs w:val="20"/>
                <w:highlight w:val="none"/>
                <w:u w:val="single" w:color="auto"/>
              </w:rPr>
              <w:t xml:space="preserve">    /   </w:t>
            </w:r>
            <w:r>
              <w:rPr>
                <w:rFonts w:ascii="Times New Roman" w:hAnsi="Times New Roman" w:eastAsia="Times New Roman" w:cs="Times New Roman"/>
                <w:spacing w:val="1"/>
                <w:sz w:val="20"/>
                <w:szCs w:val="20"/>
                <w:highlight w:val="none"/>
                <w:u w:val="single" w:color="auto"/>
              </w:rPr>
              <w:t xml:space="preserve"> </w:t>
            </w:r>
            <w:r>
              <w:rPr>
                <w:rFonts w:ascii="Times New Roman" w:hAnsi="Times New Roman" w:eastAsia="Times New Roman" w:cs="Times New Roman"/>
                <w:sz w:val="20"/>
                <w:szCs w:val="20"/>
                <w:highlight w:val="none"/>
              </w:rPr>
              <w:t xml:space="preserve"> </w:t>
            </w:r>
            <w:r>
              <w:rPr>
                <w:rFonts w:ascii="宋体" w:hAnsi="宋体" w:eastAsia="宋体" w:cs="宋体"/>
                <w:spacing w:val="16"/>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8"/>
                <w:sz w:val="20"/>
                <w:szCs w:val="20"/>
                <w:highlight w:val="none"/>
              </w:rPr>
              <w:t>人将施工控制网资料报送监理人审批的期限：</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vAlign w:val="top"/>
          </w:tcPr>
          <w:p w14:paraId="4FD361EF">
            <w:pPr>
              <w:spacing w:before="132"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0</w:t>
            </w:r>
          </w:p>
        </w:tc>
        <w:tc>
          <w:tcPr>
            <w:tcW w:w="1113" w:type="dxa"/>
            <w:vAlign w:val="top"/>
          </w:tcPr>
          <w:p w14:paraId="6BFB490F">
            <w:pPr>
              <w:spacing w:before="95"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68F0117F">
            <w:pPr>
              <w:spacing w:before="104" w:line="273" w:lineRule="auto"/>
              <w:ind w:left="316" w:leftChars="0"/>
              <w:rPr>
                <w:rFonts w:ascii="宋体" w:hAnsi="宋体" w:eastAsia="宋体" w:cs="宋体"/>
                <w:spacing w:val="10"/>
                <w:position w:val="1"/>
                <w:sz w:val="20"/>
                <w:szCs w:val="20"/>
                <w:highlight w:val="none"/>
              </w:rPr>
            </w:pPr>
            <w:r>
              <w:rPr>
                <w:rFonts w:ascii="宋体" w:hAnsi="宋体" w:eastAsia="宋体" w:cs="宋体"/>
                <w:spacing w:val="12"/>
                <w:sz w:val="20"/>
                <w:szCs w:val="20"/>
                <w:highlight w:val="none"/>
              </w:rPr>
              <w:t>逾期</w:t>
            </w:r>
            <w:r>
              <w:rPr>
                <w:rFonts w:ascii="宋体" w:hAnsi="宋体" w:eastAsia="宋体" w:cs="宋体"/>
                <w:spacing w:val="7"/>
                <w:sz w:val="20"/>
                <w:szCs w:val="20"/>
                <w:highlight w:val="none"/>
              </w:rPr>
              <w:t>交</w:t>
            </w:r>
            <w:r>
              <w:rPr>
                <w:rFonts w:ascii="宋体" w:hAnsi="宋体" w:eastAsia="宋体" w:cs="宋体"/>
                <w:spacing w:val="6"/>
                <w:sz w:val="20"/>
                <w:szCs w:val="20"/>
                <w:highlight w:val="none"/>
              </w:rPr>
              <w:t>工违约金：</w:t>
            </w:r>
            <w:r>
              <w:rPr>
                <w:rFonts w:ascii="Times New Roman" w:hAnsi="Times New Roman" w:eastAsia="Times New Roman" w:cs="Times New Roman"/>
                <w:spacing w:val="6"/>
                <w:sz w:val="20"/>
                <w:szCs w:val="20"/>
                <w:highlight w:val="none"/>
                <w:u w:val="single" w:color="auto"/>
              </w:rPr>
              <w:t xml:space="preserve">    2 </w:t>
            </w:r>
            <w:r>
              <w:rPr>
                <w:rFonts w:ascii="宋体" w:hAnsi="宋体" w:eastAsia="宋体" w:cs="宋体"/>
                <w:spacing w:val="6"/>
                <w:sz w:val="20"/>
                <w:szCs w:val="20"/>
                <w:highlight w:val="none"/>
                <w:u w:val="single" w:color="auto"/>
              </w:rPr>
              <w:t xml:space="preserve">万 </w:t>
            </w:r>
            <w:r>
              <w:rPr>
                <w:rFonts w:ascii="宋体" w:hAnsi="宋体" w:eastAsia="宋体" w:cs="宋体"/>
                <w:spacing w:val="6"/>
                <w:sz w:val="20"/>
                <w:szCs w:val="20"/>
                <w:highlight w:val="none"/>
              </w:rPr>
              <w:t>元</w:t>
            </w:r>
            <w:r>
              <w:rPr>
                <w:rFonts w:ascii="Times New Roman" w:hAnsi="Times New Roman" w:eastAsia="Times New Roman" w:cs="Times New Roman"/>
                <w:spacing w:val="6"/>
                <w:sz w:val="20"/>
                <w:szCs w:val="20"/>
                <w:highlight w:val="none"/>
              </w:rPr>
              <w:t>/</w:t>
            </w:r>
            <w:r>
              <w:rPr>
                <w:rFonts w:ascii="宋体" w:hAnsi="宋体" w:eastAsia="宋体" w:cs="宋体"/>
                <w:spacing w:val="6"/>
                <w:sz w:val="20"/>
                <w:szCs w:val="20"/>
                <w:highlight w:val="none"/>
              </w:rPr>
              <w:t>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vAlign w:val="top"/>
          </w:tcPr>
          <w:p w14:paraId="3E3CCA2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1</w:t>
            </w:r>
          </w:p>
        </w:tc>
        <w:tc>
          <w:tcPr>
            <w:tcW w:w="1113" w:type="dxa"/>
            <w:vAlign w:val="top"/>
          </w:tcPr>
          <w:p w14:paraId="2D04DAB0">
            <w:pPr>
              <w:spacing w:before="96"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44FE3CB5">
            <w:pPr>
              <w:spacing w:before="105" w:line="272" w:lineRule="auto"/>
              <w:ind w:left="316" w:left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逾期交工违约金限额：</w:t>
            </w:r>
            <w:r>
              <w:rPr>
                <w:rFonts w:ascii="Times New Roman" w:hAnsi="Times New Roman" w:eastAsia="Times New Roman" w:cs="Times New Roman"/>
                <w:spacing w:val="8"/>
                <w:sz w:val="20"/>
                <w:szCs w:val="20"/>
                <w:highlight w:val="none"/>
                <w:u w:val="single" w:color="auto"/>
              </w:rPr>
              <w:t xml:space="preserve">  10 </w:t>
            </w:r>
            <w:r>
              <w:rPr>
                <w:rFonts w:hint="eastAsia" w:eastAsia="宋体" w:cs="Times New Roman"/>
                <w:spacing w:val="8"/>
                <w:sz w:val="20"/>
                <w:szCs w:val="20"/>
                <w:highlight w:val="none"/>
                <w:u w:val="single" w:color="auto"/>
                <w:lang w:val="en-US" w:eastAsia="zh-CN"/>
              </w:rPr>
              <w:t xml:space="preserve">  </w:t>
            </w:r>
            <w:r>
              <w:rPr>
                <w:rFonts w:ascii="Times New Roman" w:hAnsi="Times New Roman" w:eastAsia="Times New Roman" w:cs="Times New Roman"/>
                <w:spacing w:val="8"/>
                <w:sz w:val="20"/>
                <w:szCs w:val="20"/>
                <w:highlight w:val="none"/>
              </w:rPr>
              <w:t>%</w:t>
            </w:r>
            <w:r>
              <w:rPr>
                <w:rFonts w:hint="eastAsia" w:eastAsia="宋体" w:cs="Times New Roman"/>
                <w:spacing w:val="8"/>
                <w:sz w:val="20"/>
                <w:szCs w:val="20"/>
                <w:highlight w:val="none"/>
                <w:lang w:val="en-US" w:eastAsia="zh-CN"/>
              </w:rPr>
              <w:t xml:space="preserve">  </w:t>
            </w:r>
            <w:r>
              <w:rPr>
                <w:rFonts w:ascii="宋体" w:hAnsi="宋体" w:eastAsia="宋体" w:cs="宋体"/>
                <w:spacing w:val="8"/>
                <w:sz w:val="20"/>
                <w:szCs w:val="20"/>
                <w:highlight w:val="none"/>
              </w:rPr>
              <w:t>签约合同价</w:t>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vAlign w:val="top"/>
          </w:tcPr>
          <w:p w14:paraId="71E56F9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2</w:t>
            </w:r>
          </w:p>
        </w:tc>
        <w:tc>
          <w:tcPr>
            <w:tcW w:w="1113" w:type="dxa"/>
            <w:vAlign w:val="top"/>
          </w:tcPr>
          <w:p w14:paraId="76F9AB1B">
            <w:pPr>
              <w:spacing w:before="13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32F29881">
            <w:pPr>
              <w:spacing w:before="105" w:line="276"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提前完工</w:t>
            </w:r>
            <w:r>
              <w:rPr>
                <w:rFonts w:ascii="宋体" w:hAnsi="宋体" w:eastAsia="宋体" w:cs="宋体"/>
                <w:spacing w:val="3"/>
                <w:position w:val="1"/>
                <w:sz w:val="20"/>
                <w:szCs w:val="20"/>
                <w:highlight w:val="none"/>
              </w:rPr>
              <w:t>的</w:t>
            </w:r>
            <w:r>
              <w:rPr>
                <w:rFonts w:ascii="宋体" w:hAnsi="宋体" w:eastAsia="宋体" w:cs="宋体"/>
                <w:spacing w:val="2"/>
                <w:position w:val="1"/>
                <w:sz w:val="20"/>
                <w:szCs w:val="20"/>
                <w:highlight w:val="none"/>
              </w:rPr>
              <w:t xml:space="preserve">奖金，规定为：   </w:t>
            </w:r>
            <w:r>
              <w:rPr>
                <w:rFonts w:ascii="Times New Roman" w:hAnsi="Times New Roman" w:eastAsia="Times New Roman" w:cs="Times New Roman"/>
                <w:spacing w:val="2"/>
                <w:position w:val="1"/>
                <w:sz w:val="20"/>
                <w:szCs w:val="20"/>
                <w:highlight w:val="none"/>
              </w:rPr>
              <w:t xml:space="preserve">/    </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vAlign w:val="top"/>
          </w:tcPr>
          <w:p w14:paraId="5D1DD4CD">
            <w:pPr>
              <w:spacing w:before="15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3</w:t>
            </w:r>
          </w:p>
        </w:tc>
        <w:tc>
          <w:tcPr>
            <w:tcW w:w="1113" w:type="dxa"/>
            <w:vAlign w:val="top"/>
          </w:tcPr>
          <w:p w14:paraId="735B5F20">
            <w:pPr>
              <w:spacing w:before="15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09064676">
            <w:pPr>
              <w:spacing w:before="122" w:line="277"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 xml:space="preserve">提前完工的奖金限额，规定为：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w:t>
            </w:r>
            <w:r>
              <w:rPr>
                <w:rFonts w:ascii="宋体" w:hAnsi="宋体" w:eastAsia="宋体" w:cs="宋体"/>
                <w:spacing w:val="2"/>
                <w:position w:val="1"/>
                <w:sz w:val="20"/>
                <w:szCs w:val="20"/>
                <w:highlight w:val="none"/>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vAlign w:val="top"/>
          </w:tcPr>
          <w:p w14:paraId="221E9EBA">
            <w:pPr>
              <w:spacing w:line="293" w:lineRule="auto"/>
              <w:rPr>
                <w:rFonts w:ascii="Arial"/>
                <w:sz w:val="21"/>
                <w:highlight w:val="none"/>
              </w:rPr>
            </w:pPr>
          </w:p>
          <w:p w14:paraId="7BE8CBA9">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4</w:t>
            </w:r>
          </w:p>
        </w:tc>
        <w:tc>
          <w:tcPr>
            <w:tcW w:w="1113" w:type="dxa"/>
            <w:vAlign w:val="top"/>
          </w:tcPr>
          <w:p w14:paraId="73DC79C4">
            <w:pPr>
              <w:spacing w:line="293" w:lineRule="auto"/>
              <w:rPr>
                <w:rFonts w:ascii="Arial"/>
                <w:sz w:val="21"/>
                <w:highlight w:val="none"/>
              </w:rPr>
            </w:pPr>
          </w:p>
          <w:p w14:paraId="596ACA97">
            <w:pPr>
              <w:spacing w:before="58" w:line="198"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14.6</w:t>
            </w:r>
          </w:p>
        </w:tc>
        <w:tc>
          <w:tcPr>
            <w:tcW w:w="7644" w:type="dxa"/>
            <w:tcBorders>
              <w:right w:val="single" w:color="000000" w:sz="6" w:space="0"/>
            </w:tcBorders>
            <w:vAlign w:val="top"/>
          </w:tcPr>
          <w:p w14:paraId="01915B9A">
            <w:pPr>
              <w:spacing w:before="161" w:line="400" w:lineRule="exact"/>
              <w:ind w:left="318"/>
              <w:rPr>
                <w:rFonts w:ascii="宋体" w:hAnsi="宋体" w:eastAsia="宋体" w:cs="宋体"/>
                <w:spacing w:val="10"/>
                <w:position w:val="1"/>
                <w:sz w:val="20"/>
                <w:szCs w:val="20"/>
                <w:highlight w:val="none"/>
              </w:rPr>
            </w:pPr>
            <w:r>
              <w:rPr>
                <w:rFonts w:ascii="宋体" w:hAnsi="宋体" w:eastAsia="宋体" w:cs="宋体"/>
                <w:spacing w:val="14"/>
                <w:position w:val="15"/>
                <w:sz w:val="20"/>
                <w:szCs w:val="20"/>
                <w:highlight w:val="none"/>
              </w:rPr>
              <w:t>承</w:t>
            </w:r>
            <w:r>
              <w:rPr>
                <w:rFonts w:ascii="宋体" w:hAnsi="宋体" w:eastAsia="宋体" w:cs="宋体"/>
                <w:spacing w:val="12"/>
                <w:position w:val="15"/>
                <w:sz w:val="20"/>
                <w:szCs w:val="20"/>
                <w:highlight w:val="none"/>
              </w:rPr>
              <w:t>包人设立试验室的相关要求：必须满足《辽宁省公路水运工程建设项目工地</w:t>
            </w:r>
            <w:r>
              <w:rPr>
                <w:rFonts w:hint="eastAsia" w:ascii="宋体" w:hAnsi="宋体" w:eastAsia="宋体" w:cs="宋体"/>
                <w:spacing w:val="12"/>
                <w:position w:val="15"/>
                <w:sz w:val="20"/>
                <w:szCs w:val="20"/>
                <w:highlight w:val="none"/>
              </w:rPr>
              <w:t xml:space="preserve">试验室备案管理标准》  (辽交工监市发〔2013〕133 号) </w:t>
            </w:r>
            <w:r>
              <w:rPr>
                <w:rFonts w:ascii="宋体" w:hAnsi="宋体" w:eastAsia="宋体" w:cs="宋体"/>
                <w:spacing w:val="4"/>
                <w:sz w:val="20"/>
                <w:szCs w:val="20"/>
                <w:highlight w:val="none"/>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16ADE92">
            <w:pPr>
              <w:spacing w:line="266" w:lineRule="auto"/>
              <w:rPr>
                <w:rFonts w:ascii="Arial"/>
                <w:sz w:val="21"/>
                <w:highlight w:val="none"/>
              </w:rPr>
            </w:pPr>
          </w:p>
          <w:p w14:paraId="2982D2C6">
            <w:pPr>
              <w:spacing w:line="266" w:lineRule="auto"/>
              <w:rPr>
                <w:rFonts w:ascii="Arial"/>
                <w:sz w:val="21"/>
                <w:highlight w:val="none"/>
              </w:rPr>
            </w:pPr>
          </w:p>
          <w:p w14:paraId="7D00776F">
            <w:pPr>
              <w:spacing w:line="267" w:lineRule="auto"/>
              <w:rPr>
                <w:rFonts w:ascii="Arial"/>
                <w:sz w:val="21"/>
                <w:highlight w:val="none"/>
              </w:rPr>
            </w:pPr>
          </w:p>
          <w:p w14:paraId="67F62152">
            <w:pPr>
              <w:spacing w:line="267" w:lineRule="auto"/>
              <w:rPr>
                <w:rFonts w:ascii="Arial"/>
                <w:sz w:val="21"/>
                <w:highlight w:val="none"/>
              </w:rPr>
            </w:pPr>
          </w:p>
          <w:p w14:paraId="54B45929">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1113" w:type="dxa"/>
            <w:vAlign w:val="top"/>
          </w:tcPr>
          <w:p w14:paraId="4D2E142D">
            <w:pPr>
              <w:spacing w:line="266" w:lineRule="auto"/>
              <w:rPr>
                <w:rFonts w:ascii="Arial"/>
                <w:sz w:val="21"/>
                <w:highlight w:val="none"/>
              </w:rPr>
            </w:pPr>
          </w:p>
          <w:p w14:paraId="05972FD2">
            <w:pPr>
              <w:spacing w:line="266" w:lineRule="auto"/>
              <w:rPr>
                <w:rFonts w:ascii="Arial"/>
                <w:sz w:val="21"/>
                <w:highlight w:val="none"/>
              </w:rPr>
            </w:pPr>
          </w:p>
          <w:p w14:paraId="142FDB7C">
            <w:pPr>
              <w:spacing w:line="267" w:lineRule="auto"/>
              <w:rPr>
                <w:rFonts w:ascii="Arial"/>
                <w:sz w:val="21"/>
                <w:highlight w:val="none"/>
              </w:rPr>
            </w:pPr>
          </w:p>
          <w:p w14:paraId="131338D1">
            <w:pPr>
              <w:spacing w:line="267" w:lineRule="auto"/>
              <w:rPr>
                <w:rFonts w:ascii="Arial"/>
                <w:sz w:val="21"/>
                <w:highlight w:val="none"/>
              </w:rPr>
            </w:pPr>
          </w:p>
          <w:p w14:paraId="5F049AB4">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5.2</w:t>
            </w:r>
          </w:p>
        </w:tc>
        <w:tc>
          <w:tcPr>
            <w:tcW w:w="7644" w:type="dxa"/>
            <w:tcBorders>
              <w:right w:val="single" w:color="000000" w:sz="6" w:space="0"/>
            </w:tcBorders>
            <w:vAlign w:val="top"/>
          </w:tcPr>
          <w:p w14:paraId="2A5831BB">
            <w:pPr>
              <w:spacing w:before="139" w:line="369" w:lineRule="auto"/>
              <w:ind w:left="111" w:right="102" w:firstLine="224"/>
              <w:rPr>
                <w:rFonts w:ascii="宋体" w:hAnsi="宋体" w:eastAsia="宋体" w:cs="宋体"/>
                <w:sz w:val="20"/>
                <w:szCs w:val="20"/>
                <w:highlight w:val="none"/>
              </w:rPr>
            </w:pPr>
            <w:r>
              <w:rPr>
                <w:rFonts w:ascii="宋体" w:hAnsi="宋体" w:eastAsia="宋体" w:cs="宋体"/>
                <w:spacing w:val="22"/>
                <w:sz w:val="20"/>
                <w:szCs w:val="20"/>
                <w:highlight w:val="none"/>
              </w:rPr>
              <w:t>出</w:t>
            </w:r>
            <w:r>
              <w:rPr>
                <w:rFonts w:ascii="宋体" w:hAnsi="宋体" w:eastAsia="宋体" w:cs="宋体"/>
                <w:spacing w:val="18"/>
                <w:sz w:val="20"/>
                <w:szCs w:val="20"/>
                <w:highlight w:val="none"/>
              </w:rPr>
              <w:t>现</w:t>
            </w:r>
            <w:r>
              <w:rPr>
                <w:rFonts w:ascii="宋体" w:hAnsi="宋体" w:eastAsia="宋体" w:cs="宋体"/>
                <w:spacing w:val="11"/>
                <w:sz w:val="20"/>
                <w:szCs w:val="20"/>
                <w:highlight w:val="none"/>
              </w:rPr>
              <w:t>施工图设计文件本身存在错误和缺陷，导致施工图设计文件必须修改和补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充所导致的变更，仅当发包人对上述变更批准同意后，方可作为本合同工程的</w:t>
            </w:r>
            <w:r>
              <w:rPr>
                <w:rFonts w:ascii="宋体" w:hAnsi="宋体" w:eastAsia="宋体" w:cs="宋体"/>
                <w:spacing w:val="11"/>
                <w:sz w:val="20"/>
                <w:szCs w:val="20"/>
                <w:highlight w:val="none"/>
              </w:rPr>
              <w:t>变</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更</w:t>
            </w:r>
            <w:r>
              <w:rPr>
                <w:rFonts w:ascii="宋体" w:hAnsi="宋体" w:eastAsia="宋体" w:cs="宋体"/>
                <w:spacing w:val="4"/>
                <w:sz w:val="20"/>
                <w:szCs w:val="20"/>
                <w:highlight w:val="none"/>
              </w:rPr>
              <w:t>情形。</w:t>
            </w:r>
          </w:p>
          <w:p w14:paraId="22720DB5">
            <w:pPr>
              <w:spacing w:before="1" w:line="368"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8"/>
                <w:sz w:val="20"/>
                <w:szCs w:val="20"/>
                <w:highlight w:val="none"/>
              </w:rPr>
              <w:t xml:space="preserve">履行合同过程中，经发包人同意，监理人可按第 </w:t>
            </w:r>
            <w:r>
              <w:rPr>
                <w:rFonts w:ascii="Times New Roman" w:hAnsi="Times New Roman" w:eastAsia="Times New Roman" w:cs="Times New Roman"/>
                <w:spacing w:val="8"/>
                <w:sz w:val="20"/>
                <w:szCs w:val="20"/>
                <w:highlight w:val="none"/>
              </w:rPr>
              <w:t xml:space="preserve">15.3 </w:t>
            </w:r>
            <w:r>
              <w:rPr>
                <w:rFonts w:ascii="宋体" w:hAnsi="宋体" w:eastAsia="宋体" w:cs="宋体"/>
                <w:spacing w:val="8"/>
                <w:sz w:val="20"/>
                <w:szCs w:val="20"/>
                <w:highlight w:val="none"/>
              </w:rPr>
              <w:t>款约定的变更程序向承</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人作出变更指示，承包人应遵照执行。没有监理人的变更指示，承包人不得擅</w:t>
            </w:r>
          </w:p>
          <w:p w14:paraId="7911E231">
            <w:pPr>
              <w:spacing w:line="228" w:lineRule="auto"/>
              <w:ind w:left="143" w:leftChars="0"/>
              <w:rPr>
                <w:rFonts w:ascii="宋体" w:hAnsi="宋体" w:eastAsia="宋体" w:cs="宋体"/>
                <w:spacing w:val="10"/>
                <w:position w:val="1"/>
                <w:sz w:val="20"/>
                <w:szCs w:val="20"/>
                <w:highlight w:val="none"/>
              </w:rPr>
            </w:pPr>
            <w:r>
              <w:rPr>
                <w:rFonts w:ascii="宋体" w:hAnsi="宋体" w:eastAsia="宋体" w:cs="宋体"/>
                <w:spacing w:val="-5"/>
                <w:sz w:val="20"/>
                <w:szCs w:val="20"/>
                <w:highlight w:val="none"/>
              </w:rPr>
              <w:t>自</w:t>
            </w:r>
            <w:r>
              <w:rPr>
                <w:rFonts w:ascii="宋体" w:hAnsi="宋体" w:eastAsia="宋体" w:cs="宋体"/>
                <w:spacing w:val="-3"/>
                <w:sz w:val="20"/>
                <w:szCs w:val="20"/>
                <w:highlight w:val="none"/>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vAlign w:val="top"/>
          </w:tcPr>
          <w:p w14:paraId="112CF204">
            <w:pPr>
              <w:spacing w:line="270" w:lineRule="auto"/>
              <w:rPr>
                <w:rFonts w:ascii="Arial"/>
                <w:sz w:val="21"/>
                <w:highlight w:val="none"/>
              </w:rPr>
            </w:pPr>
          </w:p>
          <w:p w14:paraId="7DF828C6">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6</w:t>
            </w:r>
          </w:p>
        </w:tc>
        <w:tc>
          <w:tcPr>
            <w:tcW w:w="1113" w:type="dxa"/>
            <w:vAlign w:val="top"/>
          </w:tcPr>
          <w:p w14:paraId="4E5651E0">
            <w:pPr>
              <w:spacing w:line="270" w:lineRule="auto"/>
              <w:rPr>
                <w:rFonts w:ascii="Arial"/>
                <w:sz w:val="21"/>
                <w:highlight w:val="none"/>
              </w:rPr>
            </w:pPr>
          </w:p>
          <w:p w14:paraId="60F850C0">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15.3.4</w:t>
            </w:r>
          </w:p>
        </w:tc>
        <w:tc>
          <w:tcPr>
            <w:tcW w:w="7644" w:type="dxa"/>
            <w:tcBorders>
              <w:right w:val="single" w:color="000000" w:sz="6" w:space="0"/>
            </w:tcBorders>
            <w:vAlign w:val="top"/>
          </w:tcPr>
          <w:p w14:paraId="55630A09">
            <w:pPr>
              <w:spacing w:before="139" w:line="399" w:lineRule="exact"/>
              <w:ind w:left="318"/>
              <w:rPr>
                <w:rFonts w:ascii="宋体" w:hAnsi="宋体" w:eastAsia="宋体" w:cs="宋体"/>
                <w:sz w:val="20"/>
                <w:szCs w:val="20"/>
                <w:highlight w:val="none"/>
              </w:rPr>
            </w:pPr>
            <w:r>
              <w:rPr>
                <w:rFonts w:ascii="宋体" w:hAnsi="宋体" w:eastAsia="宋体" w:cs="宋体"/>
                <w:spacing w:val="18"/>
                <w:position w:val="14"/>
                <w:sz w:val="20"/>
                <w:szCs w:val="20"/>
                <w:highlight w:val="none"/>
              </w:rPr>
              <w:t>本</w:t>
            </w:r>
            <w:r>
              <w:rPr>
                <w:rFonts w:ascii="宋体" w:hAnsi="宋体" w:eastAsia="宋体" w:cs="宋体"/>
                <w:spacing w:val="11"/>
                <w:position w:val="14"/>
                <w:sz w:val="20"/>
                <w:szCs w:val="20"/>
                <w:highlight w:val="none"/>
              </w:rPr>
              <w:t>项</w:t>
            </w:r>
            <w:r>
              <w:rPr>
                <w:rFonts w:ascii="宋体" w:hAnsi="宋体" w:eastAsia="宋体" w:cs="宋体"/>
                <w:spacing w:val="9"/>
                <w:position w:val="14"/>
                <w:sz w:val="20"/>
                <w:szCs w:val="20"/>
                <w:highlight w:val="none"/>
              </w:rPr>
              <w:t>目设计变更的程序按行业主管部门、项目管理法人制定的规定执行。</w:t>
            </w:r>
          </w:p>
          <w:p w14:paraId="6B9A0938">
            <w:pPr>
              <w:spacing w:line="227" w:lineRule="auto"/>
              <w:ind w:left="330" w:leftChars="0"/>
              <w:rPr>
                <w:rFonts w:ascii="宋体" w:hAnsi="宋体" w:eastAsia="宋体" w:cs="宋体"/>
                <w:spacing w:val="10"/>
                <w:position w:val="1"/>
                <w:sz w:val="20"/>
                <w:szCs w:val="20"/>
                <w:highlight w:val="none"/>
              </w:rPr>
            </w:pPr>
            <w:r>
              <w:rPr>
                <w:rFonts w:ascii="宋体" w:hAnsi="宋体" w:eastAsia="宋体" w:cs="宋体"/>
                <w:spacing w:val="9"/>
                <w:sz w:val="20"/>
                <w:szCs w:val="20"/>
                <w:highlight w:val="none"/>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vAlign w:val="top"/>
          </w:tcPr>
          <w:p w14:paraId="25C5DD1C">
            <w:pPr>
              <w:spacing w:line="245" w:lineRule="auto"/>
              <w:rPr>
                <w:rFonts w:ascii="Arial"/>
                <w:sz w:val="21"/>
                <w:highlight w:val="none"/>
              </w:rPr>
            </w:pPr>
          </w:p>
          <w:p w14:paraId="6474B811">
            <w:pPr>
              <w:spacing w:line="245" w:lineRule="auto"/>
              <w:rPr>
                <w:rFonts w:ascii="Arial"/>
                <w:sz w:val="21"/>
                <w:highlight w:val="none"/>
              </w:rPr>
            </w:pPr>
          </w:p>
          <w:p w14:paraId="0EB57DAD">
            <w:pPr>
              <w:spacing w:line="245" w:lineRule="auto"/>
              <w:rPr>
                <w:rFonts w:ascii="Arial"/>
                <w:sz w:val="21"/>
                <w:highlight w:val="none"/>
              </w:rPr>
            </w:pPr>
          </w:p>
          <w:p w14:paraId="19A02E5D">
            <w:pPr>
              <w:spacing w:line="245" w:lineRule="auto"/>
              <w:rPr>
                <w:rFonts w:ascii="Arial"/>
                <w:sz w:val="21"/>
                <w:highlight w:val="none"/>
              </w:rPr>
            </w:pPr>
          </w:p>
          <w:p w14:paraId="4892931B">
            <w:pPr>
              <w:spacing w:line="246" w:lineRule="auto"/>
              <w:rPr>
                <w:rFonts w:ascii="Arial"/>
                <w:sz w:val="21"/>
                <w:highlight w:val="none"/>
              </w:rPr>
            </w:pPr>
          </w:p>
          <w:p w14:paraId="6F09737D">
            <w:pPr>
              <w:spacing w:line="246" w:lineRule="auto"/>
              <w:rPr>
                <w:rFonts w:ascii="Arial"/>
                <w:sz w:val="21"/>
                <w:highlight w:val="none"/>
              </w:rPr>
            </w:pPr>
          </w:p>
          <w:p w14:paraId="7901FF56">
            <w:pPr>
              <w:spacing w:line="246" w:lineRule="auto"/>
              <w:rPr>
                <w:rFonts w:ascii="Arial"/>
                <w:sz w:val="21"/>
                <w:highlight w:val="none"/>
              </w:rPr>
            </w:pPr>
          </w:p>
          <w:p w14:paraId="78359D75">
            <w:pPr>
              <w:spacing w:line="246" w:lineRule="auto"/>
              <w:rPr>
                <w:rFonts w:ascii="Arial"/>
                <w:sz w:val="21"/>
                <w:highlight w:val="none"/>
              </w:rPr>
            </w:pPr>
          </w:p>
          <w:p w14:paraId="36742858">
            <w:pPr>
              <w:spacing w:line="246" w:lineRule="auto"/>
              <w:rPr>
                <w:rFonts w:ascii="Arial"/>
                <w:sz w:val="21"/>
                <w:highlight w:val="none"/>
              </w:rPr>
            </w:pPr>
          </w:p>
          <w:p w14:paraId="72A0D1A0">
            <w:pPr>
              <w:spacing w:line="246" w:lineRule="auto"/>
              <w:rPr>
                <w:rFonts w:ascii="Arial"/>
                <w:sz w:val="21"/>
                <w:highlight w:val="none"/>
              </w:rPr>
            </w:pPr>
          </w:p>
          <w:p w14:paraId="738315C4">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7</w:t>
            </w:r>
          </w:p>
        </w:tc>
        <w:tc>
          <w:tcPr>
            <w:tcW w:w="1113" w:type="dxa"/>
            <w:vAlign w:val="top"/>
          </w:tcPr>
          <w:p w14:paraId="7EFEA2F9">
            <w:pPr>
              <w:spacing w:line="245" w:lineRule="auto"/>
              <w:rPr>
                <w:rFonts w:ascii="Arial"/>
                <w:sz w:val="21"/>
                <w:highlight w:val="none"/>
              </w:rPr>
            </w:pPr>
          </w:p>
          <w:p w14:paraId="54684EC2">
            <w:pPr>
              <w:spacing w:line="245" w:lineRule="auto"/>
              <w:rPr>
                <w:rFonts w:ascii="Arial"/>
                <w:sz w:val="21"/>
                <w:highlight w:val="none"/>
              </w:rPr>
            </w:pPr>
          </w:p>
          <w:p w14:paraId="2BFD4E76">
            <w:pPr>
              <w:spacing w:line="245" w:lineRule="auto"/>
              <w:rPr>
                <w:rFonts w:ascii="Arial"/>
                <w:sz w:val="21"/>
                <w:highlight w:val="none"/>
              </w:rPr>
            </w:pPr>
          </w:p>
          <w:p w14:paraId="7AAADC4A">
            <w:pPr>
              <w:spacing w:line="245" w:lineRule="auto"/>
              <w:rPr>
                <w:rFonts w:ascii="Arial"/>
                <w:sz w:val="21"/>
                <w:highlight w:val="none"/>
              </w:rPr>
            </w:pPr>
          </w:p>
          <w:p w14:paraId="360D16B7">
            <w:pPr>
              <w:spacing w:line="246" w:lineRule="auto"/>
              <w:rPr>
                <w:rFonts w:ascii="Arial"/>
                <w:sz w:val="21"/>
                <w:highlight w:val="none"/>
              </w:rPr>
            </w:pPr>
          </w:p>
          <w:p w14:paraId="28A411F6">
            <w:pPr>
              <w:spacing w:line="246" w:lineRule="auto"/>
              <w:rPr>
                <w:rFonts w:ascii="Arial"/>
                <w:sz w:val="21"/>
                <w:highlight w:val="none"/>
              </w:rPr>
            </w:pPr>
          </w:p>
          <w:p w14:paraId="2259ED7A">
            <w:pPr>
              <w:spacing w:line="246" w:lineRule="auto"/>
              <w:rPr>
                <w:rFonts w:ascii="Arial"/>
                <w:sz w:val="21"/>
                <w:highlight w:val="none"/>
              </w:rPr>
            </w:pPr>
          </w:p>
          <w:p w14:paraId="5048B648">
            <w:pPr>
              <w:spacing w:line="246" w:lineRule="auto"/>
              <w:rPr>
                <w:rFonts w:ascii="Arial"/>
                <w:sz w:val="21"/>
                <w:highlight w:val="none"/>
              </w:rPr>
            </w:pPr>
          </w:p>
          <w:p w14:paraId="7294507C">
            <w:pPr>
              <w:spacing w:line="246" w:lineRule="auto"/>
              <w:rPr>
                <w:rFonts w:ascii="Arial"/>
                <w:sz w:val="21"/>
                <w:highlight w:val="none"/>
              </w:rPr>
            </w:pPr>
          </w:p>
          <w:p w14:paraId="539350D9">
            <w:pPr>
              <w:spacing w:line="246" w:lineRule="auto"/>
              <w:rPr>
                <w:rFonts w:ascii="Arial"/>
                <w:sz w:val="21"/>
                <w:highlight w:val="none"/>
              </w:rPr>
            </w:pPr>
          </w:p>
          <w:p w14:paraId="01DE3935">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5.4</w:t>
            </w:r>
          </w:p>
        </w:tc>
        <w:tc>
          <w:tcPr>
            <w:tcW w:w="7644" w:type="dxa"/>
            <w:tcBorders>
              <w:right w:val="single" w:color="000000" w:sz="6" w:space="0"/>
            </w:tcBorders>
            <w:vAlign w:val="top"/>
          </w:tcPr>
          <w:p w14:paraId="09C5C616">
            <w:pPr>
              <w:spacing w:before="139" w:line="226" w:lineRule="auto"/>
              <w:ind w:left="363"/>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5"/>
                <w:sz w:val="20"/>
                <w:szCs w:val="20"/>
                <w:highlight w:val="none"/>
              </w:rPr>
              <w:t xml:space="preserve">5.4  </w:t>
            </w:r>
            <w:r>
              <w:rPr>
                <w:rFonts w:ascii="宋体" w:hAnsi="宋体" w:eastAsia="宋体" w:cs="宋体"/>
                <w:spacing w:val="5"/>
                <w:sz w:val="20"/>
                <w:szCs w:val="20"/>
                <w:highlight w:val="none"/>
              </w:rPr>
              <w:t>变更的估价原则</w:t>
            </w:r>
          </w:p>
          <w:p w14:paraId="1C526CF3">
            <w:pPr>
              <w:spacing w:before="155" w:line="227" w:lineRule="auto"/>
              <w:ind w:left="347"/>
              <w:rPr>
                <w:rFonts w:ascii="宋体" w:hAnsi="宋体" w:eastAsia="宋体" w:cs="宋体"/>
                <w:sz w:val="20"/>
                <w:szCs w:val="20"/>
                <w:highlight w:val="none"/>
              </w:rPr>
            </w:pPr>
            <w:r>
              <w:rPr>
                <w:rFonts w:ascii="宋体" w:hAnsi="宋体" w:eastAsia="宋体" w:cs="宋体"/>
                <w:spacing w:val="9"/>
                <w:sz w:val="20"/>
                <w:szCs w:val="20"/>
                <w:highlight w:val="none"/>
              </w:rPr>
              <w:t>本</w:t>
            </w:r>
            <w:r>
              <w:rPr>
                <w:rFonts w:ascii="宋体" w:hAnsi="宋体" w:eastAsia="宋体" w:cs="宋体"/>
                <w:spacing w:val="6"/>
                <w:sz w:val="20"/>
                <w:szCs w:val="20"/>
                <w:highlight w:val="none"/>
              </w:rPr>
              <w:t>款细化为：</w:t>
            </w:r>
          </w:p>
          <w:p w14:paraId="30D46B6A">
            <w:pPr>
              <w:spacing w:before="154" w:line="228" w:lineRule="auto"/>
              <w:ind w:left="363"/>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15</w:t>
            </w:r>
            <w:r>
              <w:rPr>
                <w:rFonts w:ascii="Times New Roman" w:hAnsi="Times New Roman" w:eastAsia="Times New Roman" w:cs="Times New Roman"/>
                <w:spacing w:val="9"/>
                <w:sz w:val="20"/>
                <w:szCs w:val="20"/>
                <w:highlight w:val="none"/>
              </w:rPr>
              <w:t>.</w:t>
            </w:r>
            <w:r>
              <w:rPr>
                <w:rFonts w:ascii="Times New Roman" w:hAnsi="Times New Roman" w:eastAsia="Times New Roman" w:cs="Times New Roman"/>
                <w:spacing w:val="5"/>
                <w:sz w:val="20"/>
                <w:szCs w:val="20"/>
                <w:highlight w:val="none"/>
              </w:rPr>
              <w:t xml:space="preserve">4. 1  </w:t>
            </w:r>
            <w:r>
              <w:rPr>
                <w:rFonts w:ascii="宋体" w:hAnsi="宋体" w:eastAsia="宋体" w:cs="宋体"/>
                <w:spacing w:val="5"/>
                <w:sz w:val="20"/>
                <w:szCs w:val="20"/>
                <w:highlight w:val="none"/>
              </w:rPr>
              <w:t>如果取消某项工作，则该项工作的总额价不予支付。</w:t>
            </w:r>
          </w:p>
          <w:p w14:paraId="68A4817D">
            <w:pPr>
              <w:spacing w:before="151" w:line="226" w:lineRule="auto"/>
              <w:ind w:left="363"/>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 xml:space="preserve">15.4.2  </w:t>
            </w:r>
            <w:r>
              <w:rPr>
                <w:rFonts w:ascii="宋体" w:hAnsi="宋体" w:eastAsia="宋体" w:cs="宋体"/>
                <w:spacing w:val="8"/>
                <w:sz w:val="20"/>
                <w:szCs w:val="20"/>
                <w:highlight w:val="none"/>
              </w:rPr>
              <w:t>已标价工程量清单中有适用于变更工作的子目的，采用该子目的单价</w:t>
            </w:r>
            <w:r>
              <w:rPr>
                <w:rFonts w:ascii="宋体" w:hAnsi="宋体" w:eastAsia="宋体" w:cs="宋体"/>
                <w:sz w:val="20"/>
                <w:szCs w:val="20"/>
                <w:highlight w:val="none"/>
              </w:rPr>
              <w:t>。</w:t>
            </w:r>
          </w:p>
          <w:p w14:paraId="7D7D91F1">
            <w:pPr>
              <w:spacing w:before="156" w:line="369" w:lineRule="auto"/>
              <w:ind w:left="110" w:right="104"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.4.3  </w:t>
            </w:r>
            <w:r>
              <w:rPr>
                <w:rFonts w:ascii="宋体" w:hAnsi="宋体" w:eastAsia="宋体" w:cs="宋体"/>
                <w:spacing w:val="9"/>
                <w:sz w:val="20"/>
                <w:szCs w:val="20"/>
                <w:highlight w:val="none"/>
              </w:rPr>
              <w:t>已标价工程量清单中无适用于变更工作的子目，但有类似子目的，可在</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合</w:t>
            </w:r>
            <w:r>
              <w:rPr>
                <w:rFonts w:ascii="宋体" w:hAnsi="宋体" w:eastAsia="宋体" w:cs="宋体"/>
                <w:spacing w:val="8"/>
                <w:sz w:val="20"/>
                <w:szCs w:val="20"/>
                <w:highlight w:val="none"/>
              </w:rPr>
              <w:t xml:space="preserve">理范围内参照类似子目的单价， 由监理人按第 </w:t>
            </w:r>
            <w:r>
              <w:rPr>
                <w:rFonts w:ascii="Times New Roman" w:hAnsi="Times New Roman" w:eastAsia="Times New Roman" w:cs="Times New Roman"/>
                <w:spacing w:val="8"/>
                <w:sz w:val="20"/>
                <w:szCs w:val="20"/>
                <w:highlight w:val="none"/>
              </w:rPr>
              <w:t xml:space="preserve">3.5 </w:t>
            </w:r>
            <w:r>
              <w:rPr>
                <w:rFonts w:ascii="宋体" w:hAnsi="宋体" w:eastAsia="宋体" w:cs="宋体"/>
                <w:spacing w:val="8"/>
                <w:sz w:val="20"/>
                <w:szCs w:val="20"/>
                <w:highlight w:val="none"/>
              </w:rPr>
              <w:t>款商定或确定变更工作的单</w:t>
            </w:r>
            <w:r>
              <w:rPr>
                <w:rFonts w:ascii="宋体" w:hAnsi="宋体" w:eastAsia="宋体" w:cs="宋体"/>
                <w:sz w:val="20"/>
                <w:szCs w:val="20"/>
                <w:highlight w:val="none"/>
              </w:rPr>
              <w:t xml:space="preserve"> 价。</w:t>
            </w:r>
          </w:p>
          <w:p w14:paraId="0870E032">
            <w:pPr>
              <w:spacing w:before="2" w:line="369" w:lineRule="auto"/>
              <w:ind w:left="110" w:right="102"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.4.4  </w:t>
            </w:r>
            <w:r>
              <w:rPr>
                <w:rFonts w:ascii="宋体" w:hAnsi="宋体" w:eastAsia="宋体" w:cs="宋体"/>
                <w:spacing w:val="9"/>
                <w:sz w:val="20"/>
                <w:szCs w:val="20"/>
                <w:highlight w:val="none"/>
              </w:rPr>
              <w:t>已标价工程量清单中无适用或类似子目的单价，可在综合考虑承包人在</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投</w:t>
            </w:r>
            <w:r>
              <w:rPr>
                <w:rFonts w:ascii="宋体" w:hAnsi="宋体" w:eastAsia="宋体" w:cs="宋体"/>
                <w:spacing w:val="12"/>
                <w:sz w:val="20"/>
                <w:szCs w:val="20"/>
                <w:highlight w:val="none"/>
              </w:rPr>
              <w:t>标时所提供的单价分析表的基础上，参照《公路工程建设项目概算预算编制办</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法》和《</w:t>
            </w:r>
            <w:r>
              <w:rPr>
                <w:rFonts w:ascii="宋体" w:hAnsi="宋体" w:eastAsia="宋体" w:cs="宋体"/>
                <w:spacing w:val="9"/>
                <w:sz w:val="20"/>
                <w:szCs w:val="20"/>
                <w:highlight w:val="none"/>
              </w:rPr>
              <w:t>公</w:t>
            </w:r>
            <w:r>
              <w:rPr>
                <w:rFonts w:ascii="宋体" w:hAnsi="宋体" w:eastAsia="宋体" w:cs="宋体"/>
                <w:spacing w:val="5"/>
                <w:sz w:val="20"/>
                <w:szCs w:val="20"/>
                <w:highlight w:val="none"/>
              </w:rPr>
              <w:t xml:space="preserve">路工程预算定额》进行计算，由监理人按第 </w:t>
            </w:r>
            <w:r>
              <w:rPr>
                <w:rFonts w:ascii="Times New Roman" w:hAnsi="Times New Roman" w:eastAsia="Times New Roman" w:cs="Times New Roman"/>
                <w:spacing w:val="5"/>
                <w:sz w:val="20"/>
                <w:szCs w:val="20"/>
                <w:highlight w:val="none"/>
              </w:rPr>
              <w:t xml:space="preserve">3.5 </w:t>
            </w:r>
            <w:r>
              <w:rPr>
                <w:rFonts w:ascii="宋体" w:hAnsi="宋体" w:eastAsia="宋体" w:cs="宋体"/>
                <w:spacing w:val="5"/>
                <w:sz w:val="20"/>
                <w:szCs w:val="20"/>
                <w:highlight w:val="none"/>
              </w:rPr>
              <w:t>款商定或确定变更工作</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的</w:t>
            </w:r>
            <w:r>
              <w:rPr>
                <w:rFonts w:ascii="宋体" w:hAnsi="宋体" w:eastAsia="宋体" w:cs="宋体"/>
                <w:spacing w:val="8"/>
                <w:sz w:val="20"/>
                <w:szCs w:val="20"/>
                <w:highlight w:val="none"/>
              </w:rPr>
              <w:t>单价，变更单价不计取利润。</w:t>
            </w:r>
          </w:p>
          <w:p w14:paraId="5FEC3E38">
            <w:pPr>
              <w:spacing w:line="399" w:lineRule="exact"/>
              <w:ind w:left="363"/>
              <w:rPr>
                <w:rFonts w:ascii="宋体" w:hAnsi="宋体" w:eastAsia="宋体" w:cs="宋体"/>
                <w:spacing w:val="10"/>
                <w:position w:val="1"/>
                <w:sz w:val="20"/>
                <w:szCs w:val="20"/>
                <w:highlight w:val="none"/>
              </w:rPr>
            </w:pPr>
            <w:r>
              <w:rPr>
                <w:rFonts w:ascii="Times New Roman" w:hAnsi="Times New Roman" w:eastAsia="Times New Roman" w:cs="Times New Roman"/>
                <w:spacing w:val="18"/>
                <w:position w:val="14"/>
                <w:sz w:val="20"/>
                <w:szCs w:val="20"/>
                <w:highlight w:val="none"/>
              </w:rPr>
              <w:t>1</w:t>
            </w:r>
            <w:r>
              <w:rPr>
                <w:rFonts w:ascii="Times New Roman" w:hAnsi="Times New Roman" w:eastAsia="Times New Roman" w:cs="Times New Roman"/>
                <w:spacing w:val="14"/>
                <w:position w:val="14"/>
                <w:sz w:val="20"/>
                <w:szCs w:val="20"/>
                <w:highlight w:val="none"/>
              </w:rPr>
              <w:t>5</w:t>
            </w:r>
            <w:r>
              <w:rPr>
                <w:rFonts w:ascii="Times New Roman" w:hAnsi="Times New Roman" w:eastAsia="Times New Roman" w:cs="Times New Roman"/>
                <w:spacing w:val="9"/>
                <w:position w:val="14"/>
                <w:sz w:val="20"/>
                <w:szCs w:val="20"/>
                <w:highlight w:val="none"/>
              </w:rPr>
              <w:t xml:space="preserve">.4.5  </w:t>
            </w:r>
            <w:r>
              <w:rPr>
                <w:rFonts w:ascii="宋体" w:hAnsi="宋体" w:eastAsia="宋体" w:cs="宋体"/>
                <w:spacing w:val="9"/>
                <w:position w:val="14"/>
                <w:sz w:val="20"/>
                <w:szCs w:val="20"/>
                <w:highlight w:val="none"/>
              </w:rPr>
              <w:t>如果本工程的变更指示是因承包人过错、承包人违反合同或承包人责任</w:t>
            </w:r>
            <w:r>
              <w:rPr>
                <w:rFonts w:hint="eastAsia" w:ascii="宋体" w:hAnsi="宋体" w:eastAsia="宋体" w:cs="宋体"/>
                <w:spacing w:val="9"/>
                <w:position w:val="14"/>
                <w:sz w:val="20"/>
                <w:szCs w:val="20"/>
                <w:highlight w:val="none"/>
              </w:rPr>
              <w:t>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vAlign w:val="top"/>
          </w:tcPr>
          <w:p w14:paraId="3F3C86D0">
            <w:pPr>
              <w:spacing w:line="274" w:lineRule="auto"/>
              <w:rPr>
                <w:rFonts w:ascii="Arial"/>
                <w:sz w:val="21"/>
                <w:highlight w:val="none"/>
              </w:rPr>
            </w:pPr>
          </w:p>
          <w:p w14:paraId="2F2057EC">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8</w:t>
            </w:r>
          </w:p>
        </w:tc>
        <w:tc>
          <w:tcPr>
            <w:tcW w:w="1113" w:type="dxa"/>
            <w:vAlign w:val="top"/>
          </w:tcPr>
          <w:p w14:paraId="092F67BB">
            <w:pPr>
              <w:spacing w:line="274" w:lineRule="auto"/>
              <w:rPr>
                <w:rFonts w:ascii="Arial"/>
                <w:sz w:val="21"/>
                <w:highlight w:val="none"/>
              </w:rPr>
            </w:pPr>
          </w:p>
          <w:p w14:paraId="3422C59B">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15.5.2</w:t>
            </w:r>
          </w:p>
        </w:tc>
        <w:tc>
          <w:tcPr>
            <w:tcW w:w="7644" w:type="dxa"/>
            <w:tcBorders>
              <w:right w:val="single" w:color="000000" w:sz="6" w:space="0"/>
            </w:tcBorders>
            <w:vAlign w:val="top"/>
          </w:tcPr>
          <w:p w14:paraId="1F53DD10">
            <w:pPr>
              <w:spacing w:before="141" w:line="295" w:lineRule="auto"/>
              <w:ind w:left="111" w:leftChars="0" w:right="104" w:rightChars="0" w:firstLine="207" w:firstLineChars="0"/>
              <w:rPr>
                <w:rFonts w:ascii="宋体" w:hAnsi="宋体" w:eastAsia="宋体" w:cs="宋体"/>
                <w:spacing w:val="10"/>
                <w:position w:val="1"/>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包人提出的合理化建议降低了合同价格或者提高了工程经济效益的，发包人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按所节</w:t>
            </w:r>
            <w:r>
              <w:rPr>
                <w:rFonts w:ascii="宋体" w:hAnsi="宋体" w:eastAsia="宋体" w:cs="宋体"/>
                <w:spacing w:val="8"/>
                <w:sz w:val="20"/>
                <w:szCs w:val="20"/>
                <w:highlight w:val="none"/>
              </w:rPr>
              <w:t>约</w:t>
            </w:r>
            <w:r>
              <w:rPr>
                <w:rFonts w:ascii="宋体" w:hAnsi="宋体" w:eastAsia="宋体" w:cs="宋体"/>
                <w:spacing w:val="6"/>
                <w:sz w:val="20"/>
                <w:szCs w:val="20"/>
                <w:highlight w:val="none"/>
              </w:rPr>
              <w:t xml:space="preserve">成本的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 xml:space="preserve">或增加收益的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vAlign w:val="top"/>
          </w:tcPr>
          <w:p w14:paraId="103149B6">
            <w:pPr>
              <w:spacing w:line="292" w:lineRule="auto"/>
              <w:rPr>
                <w:rFonts w:ascii="Arial"/>
                <w:sz w:val="21"/>
                <w:highlight w:val="none"/>
              </w:rPr>
            </w:pPr>
          </w:p>
          <w:p w14:paraId="4DD947B1">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9</w:t>
            </w:r>
          </w:p>
        </w:tc>
        <w:tc>
          <w:tcPr>
            <w:tcW w:w="1113" w:type="dxa"/>
            <w:vAlign w:val="top"/>
          </w:tcPr>
          <w:p w14:paraId="5A80D089">
            <w:pPr>
              <w:spacing w:line="292" w:lineRule="auto"/>
              <w:rPr>
                <w:rFonts w:ascii="Arial"/>
                <w:sz w:val="21"/>
                <w:highlight w:val="none"/>
              </w:rPr>
            </w:pPr>
          </w:p>
          <w:p w14:paraId="2C3ACEFF">
            <w:pPr>
              <w:spacing w:before="57"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7"/>
                <w:sz w:val="20"/>
                <w:szCs w:val="20"/>
                <w:highlight w:val="none"/>
              </w:rPr>
              <w:t>6. 1</w:t>
            </w:r>
          </w:p>
        </w:tc>
        <w:tc>
          <w:tcPr>
            <w:tcW w:w="7644" w:type="dxa"/>
            <w:tcBorders>
              <w:right w:val="single" w:color="000000" w:sz="6" w:space="0"/>
            </w:tcBorders>
            <w:vAlign w:val="top"/>
          </w:tcPr>
          <w:p w14:paraId="01F3035F">
            <w:pPr>
              <w:spacing w:before="121" w:line="293" w:lineRule="auto"/>
              <w:ind w:left="339"/>
              <w:rPr>
                <w:rFonts w:ascii="宋体" w:hAnsi="宋体" w:eastAsia="宋体" w:cs="宋体"/>
                <w:sz w:val="20"/>
                <w:szCs w:val="20"/>
                <w:highlight w:val="none"/>
              </w:rPr>
            </w:pPr>
            <w:r>
              <w:rPr>
                <w:rFonts w:ascii="宋体" w:hAnsi="宋体" w:eastAsia="宋体" w:cs="宋体"/>
                <w:spacing w:val="11"/>
                <w:sz w:val="20"/>
                <w:szCs w:val="20"/>
                <w:highlight w:val="none"/>
                <w:u w:val="none" w:color="auto"/>
              </w:rPr>
              <w:sym w:font="Wingdings 2" w:char="00A3"/>
            </w:r>
            <w:r>
              <w:rPr>
                <w:rFonts w:ascii="宋体" w:hAnsi="宋体" w:eastAsia="宋体" w:cs="宋体"/>
                <w:spacing w:val="7"/>
                <w:sz w:val="20"/>
                <w:szCs w:val="20"/>
                <w:highlight w:val="none"/>
              </w:rPr>
              <w:t>因物价波动引起的价格调整按照</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约定的原则处理</w:t>
            </w:r>
          </w:p>
          <w:p w14:paraId="2646DAEF">
            <w:pPr>
              <w:spacing w:before="79"/>
              <w:ind w:left="310" w:leftChars="0"/>
              <w:rPr>
                <w:rFonts w:ascii="宋体" w:hAnsi="宋体" w:eastAsia="宋体" w:cs="宋体"/>
                <w:spacing w:val="10"/>
                <w:position w:val="1"/>
                <w:sz w:val="20"/>
                <w:szCs w:val="20"/>
                <w:highlight w:val="none"/>
              </w:rPr>
            </w:pPr>
            <w:r>
              <w:rPr>
                <w:rFonts w:ascii="宋体" w:hAnsi="宋体" w:eastAsia="宋体" w:cs="宋体"/>
                <w:spacing w:val="11"/>
                <w:sz w:val="20"/>
                <w:szCs w:val="20"/>
                <w:highlight w:val="none"/>
                <w:u w:val="none" w:color="auto"/>
              </w:rPr>
              <w:sym w:font="Wingdings 2" w:char="0052"/>
            </w:r>
            <w:r>
              <w:rPr>
                <w:rFonts w:ascii="宋体" w:hAnsi="宋体" w:eastAsia="宋体" w:cs="宋体"/>
                <w:spacing w:val="17"/>
                <w:sz w:val="20"/>
                <w:szCs w:val="20"/>
                <w:highlight w:val="none"/>
              </w:rPr>
              <w:t>合</w:t>
            </w:r>
            <w:r>
              <w:rPr>
                <w:rFonts w:ascii="宋体" w:hAnsi="宋体" w:eastAsia="宋体" w:cs="宋体"/>
                <w:spacing w:val="9"/>
                <w:sz w:val="20"/>
                <w:szCs w:val="20"/>
                <w:highlight w:val="none"/>
              </w:rPr>
              <w:t>同期内不调价，因物价波动引起的价格调整本合同不予考虑。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EFB1B90">
            <w:pPr>
              <w:spacing w:line="479" w:lineRule="auto"/>
              <w:rPr>
                <w:rFonts w:ascii="Arial"/>
                <w:sz w:val="21"/>
                <w:highlight w:val="none"/>
              </w:rPr>
            </w:pPr>
          </w:p>
          <w:p w14:paraId="2E18350E">
            <w:pPr>
              <w:spacing w:before="58" w:line="195" w:lineRule="auto"/>
              <w:ind w:left="160"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
                <w:sz w:val="20"/>
                <w:szCs w:val="20"/>
                <w:highlight w:val="none"/>
              </w:rPr>
              <w:t>3</w:t>
            </w:r>
            <w:r>
              <w:rPr>
                <w:rFonts w:ascii="Times New Roman" w:hAnsi="Times New Roman" w:eastAsia="Times New Roman" w:cs="Times New Roman"/>
                <w:sz w:val="20"/>
                <w:szCs w:val="20"/>
                <w:highlight w:val="none"/>
              </w:rPr>
              <w:t>0</w:t>
            </w:r>
          </w:p>
        </w:tc>
        <w:tc>
          <w:tcPr>
            <w:tcW w:w="1113" w:type="dxa"/>
            <w:vAlign w:val="top"/>
          </w:tcPr>
          <w:p w14:paraId="5CEF2FD7">
            <w:pPr>
              <w:spacing w:line="479" w:lineRule="auto"/>
              <w:rPr>
                <w:rFonts w:ascii="Arial"/>
                <w:sz w:val="21"/>
                <w:highlight w:val="none"/>
              </w:rPr>
            </w:pPr>
          </w:p>
          <w:p w14:paraId="5191ADEA">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6.3</w:t>
            </w:r>
          </w:p>
        </w:tc>
        <w:tc>
          <w:tcPr>
            <w:tcW w:w="7644" w:type="dxa"/>
            <w:tcBorders>
              <w:right w:val="single" w:color="000000" w:sz="6" w:space="0"/>
            </w:tcBorders>
            <w:vAlign w:val="top"/>
          </w:tcPr>
          <w:p w14:paraId="3BF2F735">
            <w:pPr>
              <w:spacing w:before="148" w:line="369" w:lineRule="auto"/>
              <w:ind w:left="108" w:right="102" w:firstLine="221"/>
              <w:rPr>
                <w:rFonts w:ascii="宋体" w:hAnsi="宋体" w:eastAsia="宋体" w:cs="宋体"/>
                <w:spacing w:val="10"/>
                <w:position w:val="1"/>
                <w:sz w:val="20"/>
                <w:szCs w:val="20"/>
                <w:highlight w:val="none"/>
              </w:rPr>
            </w:pPr>
            <w:r>
              <w:rPr>
                <w:rFonts w:ascii="宋体" w:hAnsi="宋体" w:eastAsia="宋体" w:cs="宋体"/>
                <w:spacing w:val="22"/>
                <w:sz w:val="20"/>
                <w:szCs w:val="20"/>
                <w:highlight w:val="none"/>
              </w:rPr>
              <w:t>除非</w:t>
            </w:r>
            <w:r>
              <w:rPr>
                <w:rFonts w:ascii="宋体" w:hAnsi="宋体" w:eastAsia="宋体" w:cs="宋体"/>
                <w:spacing w:val="13"/>
                <w:sz w:val="20"/>
                <w:szCs w:val="20"/>
                <w:highlight w:val="none"/>
              </w:rPr>
              <w:t>发</w:t>
            </w:r>
            <w:r>
              <w:rPr>
                <w:rFonts w:ascii="宋体" w:hAnsi="宋体" w:eastAsia="宋体" w:cs="宋体"/>
                <w:spacing w:val="11"/>
                <w:sz w:val="20"/>
                <w:szCs w:val="20"/>
                <w:highlight w:val="none"/>
              </w:rPr>
              <w:t>包人和监理人专门批准，如果本工程技术规范和图纸标准低于国家和行</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业</w:t>
            </w:r>
            <w:r>
              <w:rPr>
                <w:rFonts w:ascii="宋体" w:hAnsi="宋体" w:eastAsia="宋体" w:cs="宋体"/>
                <w:spacing w:val="12"/>
                <w:sz w:val="20"/>
                <w:szCs w:val="20"/>
                <w:highlight w:val="none"/>
              </w:rPr>
              <w:t>标准，则应按国家和行业标准执行，承包人由此增加的费用，发包人不另行计</w:t>
            </w:r>
            <w:r>
              <w:rPr>
                <w:rFonts w:ascii="宋体" w:hAnsi="宋体" w:eastAsia="宋体" w:cs="宋体"/>
                <w:spacing w:val="5"/>
                <w:sz w:val="20"/>
                <w:szCs w:val="20"/>
                <w:highlight w:val="none"/>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5C86F040">
            <w:pPr>
              <w:spacing w:line="271" w:lineRule="auto"/>
              <w:rPr>
                <w:rFonts w:ascii="Arial"/>
                <w:sz w:val="21"/>
                <w:highlight w:val="none"/>
              </w:rPr>
            </w:pPr>
          </w:p>
          <w:p w14:paraId="5582FD90">
            <w:pPr>
              <w:spacing w:before="58"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1</w:t>
            </w:r>
          </w:p>
        </w:tc>
        <w:tc>
          <w:tcPr>
            <w:tcW w:w="1113" w:type="dxa"/>
            <w:vAlign w:val="top"/>
          </w:tcPr>
          <w:p w14:paraId="4916D95A">
            <w:pPr>
              <w:spacing w:line="271" w:lineRule="auto"/>
              <w:rPr>
                <w:rFonts w:ascii="Arial"/>
                <w:sz w:val="21"/>
                <w:highlight w:val="none"/>
              </w:rPr>
            </w:pPr>
          </w:p>
          <w:p w14:paraId="59643150">
            <w:pPr>
              <w:spacing w:before="58"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7. 1.3</w:t>
            </w:r>
          </w:p>
        </w:tc>
        <w:tc>
          <w:tcPr>
            <w:tcW w:w="7644" w:type="dxa"/>
            <w:tcBorders>
              <w:right w:val="single" w:color="000000" w:sz="6" w:space="0"/>
            </w:tcBorders>
            <w:vAlign w:val="top"/>
          </w:tcPr>
          <w:p w14:paraId="6055D964">
            <w:pPr>
              <w:spacing w:before="139" w:line="400" w:lineRule="exact"/>
              <w:ind w:left="319"/>
              <w:rPr>
                <w:rFonts w:ascii="宋体" w:hAnsi="宋体" w:eastAsia="宋体" w:cs="宋体"/>
                <w:sz w:val="20"/>
                <w:szCs w:val="20"/>
                <w:highlight w:val="none"/>
              </w:rPr>
            </w:pPr>
            <w:r>
              <w:rPr>
                <w:rFonts w:ascii="宋体" w:hAnsi="宋体" w:eastAsia="宋体" w:cs="宋体"/>
                <w:spacing w:val="14"/>
                <w:position w:val="14"/>
                <w:sz w:val="20"/>
                <w:szCs w:val="20"/>
                <w:highlight w:val="none"/>
              </w:rPr>
              <w:t>单</w:t>
            </w:r>
            <w:r>
              <w:rPr>
                <w:rFonts w:ascii="宋体" w:hAnsi="宋体" w:eastAsia="宋体" w:cs="宋体"/>
                <w:spacing w:val="11"/>
                <w:position w:val="14"/>
                <w:sz w:val="20"/>
                <w:szCs w:val="20"/>
                <w:highlight w:val="none"/>
              </w:rPr>
              <w:t>价</w:t>
            </w:r>
            <w:r>
              <w:rPr>
                <w:rFonts w:ascii="宋体" w:hAnsi="宋体" w:eastAsia="宋体" w:cs="宋体"/>
                <w:spacing w:val="7"/>
                <w:position w:val="14"/>
                <w:sz w:val="20"/>
                <w:szCs w:val="20"/>
                <w:highlight w:val="none"/>
              </w:rPr>
              <w:t xml:space="preserve">子目已完成工程量按月计量，总价子目按第 </w:t>
            </w:r>
            <w:r>
              <w:rPr>
                <w:rFonts w:ascii="Times New Roman" w:hAnsi="Times New Roman" w:eastAsia="Times New Roman" w:cs="Times New Roman"/>
                <w:spacing w:val="7"/>
                <w:position w:val="14"/>
                <w:sz w:val="20"/>
                <w:szCs w:val="20"/>
                <w:highlight w:val="none"/>
              </w:rPr>
              <w:t xml:space="preserve">17. 1.5 </w:t>
            </w:r>
            <w:r>
              <w:rPr>
                <w:rFonts w:ascii="宋体" w:hAnsi="宋体" w:eastAsia="宋体" w:cs="宋体"/>
                <w:spacing w:val="7"/>
                <w:position w:val="14"/>
                <w:sz w:val="20"/>
                <w:szCs w:val="20"/>
                <w:highlight w:val="none"/>
              </w:rPr>
              <w:t>项 (总价子目的计量)</w:t>
            </w:r>
          </w:p>
          <w:p w14:paraId="7D3794B5">
            <w:pPr>
              <w:spacing w:line="228" w:lineRule="auto"/>
              <w:ind w:left="109" w:leftChars="0"/>
              <w:rPr>
                <w:rFonts w:ascii="宋体" w:hAnsi="宋体" w:eastAsia="宋体" w:cs="宋体"/>
                <w:spacing w:val="22"/>
                <w:sz w:val="20"/>
                <w:szCs w:val="20"/>
                <w:highlight w:val="none"/>
              </w:rPr>
            </w:pPr>
            <w:r>
              <w:rPr>
                <w:rFonts w:ascii="宋体" w:hAnsi="宋体" w:eastAsia="宋体" w:cs="宋体"/>
                <w:spacing w:val="9"/>
                <w:sz w:val="20"/>
                <w:szCs w:val="20"/>
                <w:highlight w:val="none"/>
              </w:rPr>
              <w:t>计</w:t>
            </w:r>
            <w:r>
              <w:rPr>
                <w:rFonts w:ascii="宋体" w:hAnsi="宋体" w:eastAsia="宋体" w:cs="宋体"/>
                <w:spacing w:val="8"/>
                <w:sz w:val="20"/>
                <w:szCs w:val="20"/>
                <w:highlight w:val="none"/>
              </w:rPr>
              <w:t>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vAlign w:val="top"/>
          </w:tcPr>
          <w:p w14:paraId="7056C9ED">
            <w:pPr>
              <w:spacing w:line="249" w:lineRule="auto"/>
              <w:rPr>
                <w:rFonts w:ascii="Arial"/>
                <w:sz w:val="21"/>
                <w:highlight w:val="none"/>
              </w:rPr>
            </w:pPr>
          </w:p>
          <w:p w14:paraId="02FE160A">
            <w:pPr>
              <w:spacing w:line="249" w:lineRule="auto"/>
              <w:rPr>
                <w:rFonts w:ascii="Arial"/>
                <w:sz w:val="21"/>
                <w:highlight w:val="none"/>
              </w:rPr>
            </w:pPr>
          </w:p>
          <w:p w14:paraId="3DE940AB">
            <w:pPr>
              <w:spacing w:line="249" w:lineRule="auto"/>
              <w:rPr>
                <w:rFonts w:ascii="Arial"/>
                <w:sz w:val="21"/>
                <w:highlight w:val="none"/>
              </w:rPr>
            </w:pPr>
          </w:p>
          <w:p w14:paraId="4139EFE5">
            <w:pPr>
              <w:spacing w:line="250" w:lineRule="auto"/>
              <w:rPr>
                <w:rFonts w:ascii="Arial"/>
                <w:sz w:val="21"/>
                <w:highlight w:val="none"/>
              </w:rPr>
            </w:pPr>
          </w:p>
          <w:p w14:paraId="4147D4A4">
            <w:pPr>
              <w:spacing w:line="250" w:lineRule="auto"/>
              <w:rPr>
                <w:rFonts w:ascii="Arial"/>
                <w:sz w:val="21"/>
                <w:highlight w:val="none"/>
              </w:rPr>
            </w:pPr>
          </w:p>
          <w:p w14:paraId="5602B9E0">
            <w:pPr>
              <w:spacing w:line="250" w:lineRule="auto"/>
              <w:rPr>
                <w:rFonts w:ascii="Arial"/>
                <w:sz w:val="21"/>
                <w:highlight w:val="none"/>
              </w:rPr>
            </w:pPr>
          </w:p>
          <w:p w14:paraId="21CE2333">
            <w:pPr>
              <w:spacing w:line="250" w:lineRule="auto"/>
              <w:rPr>
                <w:rFonts w:ascii="Arial"/>
                <w:sz w:val="21"/>
                <w:highlight w:val="none"/>
              </w:rPr>
            </w:pPr>
          </w:p>
          <w:p w14:paraId="68D2DD11">
            <w:pPr>
              <w:spacing w:line="250" w:lineRule="auto"/>
              <w:rPr>
                <w:rFonts w:ascii="Arial"/>
                <w:sz w:val="21"/>
                <w:highlight w:val="none"/>
              </w:rPr>
            </w:pPr>
          </w:p>
          <w:p w14:paraId="2CDD6297">
            <w:pPr>
              <w:spacing w:line="250" w:lineRule="auto"/>
              <w:rPr>
                <w:rFonts w:ascii="Arial"/>
                <w:sz w:val="21"/>
                <w:highlight w:val="none"/>
              </w:rPr>
            </w:pPr>
          </w:p>
          <w:p w14:paraId="61867747">
            <w:pPr>
              <w:spacing w:line="250" w:lineRule="auto"/>
              <w:rPr>
                <w:rFonts w:ascii="Arial"/>
                <w:sz w:val="21"/>
                <w:highlight w:val="none"/>
              </w:rPr>
            </w:pPr>
          </w:p>
          <w:p w14:paraId="79CEFC0D">
            <w:pPr>
              <w:spacing w:line="250" w:lineRule="auto"/>
              <w:rPr>
                <w:rFonts w:ascii="Arial"/>
                <w:sz w:val="21"/>
                <w:highlight w:val="none"/>
              </w:rPr>
            </w:pPr>
          </w:p>
          <w:p w14:paraId="0E80EF3E">
            <w:pPr>
              <w:spacing w:line="250" w:lineRule="auto"/>
              <w:rPr>
                <w:rFonts w:ascii="Arial"/>
                <w:sz w:val="21"/>
                <w:highlight w:val="none"/>
              </w:rPr>
            </w:pPr>
          </w:p>
          <w:p w14:paraId="4C1E159E">
            <w:pPr>
              <w:spacing w:line="250" w:lineRule="auto"/>
              <w:rPr>
                <w:rFonts w:ascii="Arial"/>
                <w:sz w:val="21"/>
                <w:highlight w:val="none"/>
              </w:rPr>
            </w:pPr>
          </w:p>
          <w:p w14:paraId="0F3FC07D">
            <w:pPr>
              <w:spacing w:line="250" w:lineRule="auto"/>
              <w:rPr>
                <w:rFonts w:ascii="Arial"/>
                <w:sz w:val="21"/>
                <w:highlight w:val="none"/>
              </w:rPr>
            </w:pPr>
          </w:p>
          <w:p w14:paraId="43561B87">
            <w:pPr>
              <w:spacing w:line="250" w:lineRule="auto"/>
              <w:rPr>
                <w:rFonts w:ascii="Arial"/>
                <w:sz w:val="21"/>
                <w:highlight w:val="none"/>
              </w:rPr>
            </w:pPr>
          </w:p>
          <w:p w14:paraId="1251CD48">
            <w:pPr>
              <w:spacing w:line="250" w:lineRule="auto"/>
              <w:rPr>
                <w:rFonts w:ascii="Arial"/>
                <w:sz w:val="21"/>
                <w:highlight w:val="none"/>
              </w:rPr>
            </w:pPr>
          </w:p>
          <w:p w14:paraId="271C2927">
            <w:pPr>
              <w:spacing w:line="250" w:lineRule="auto"/>
              <w:rPr>
                <w:rFonts w:ascii="Arial"/>
                <w:sz w:val="21"/>
                <w:highlight w:val="none"/>
              </w:rPr>
            </w:pPr>
          </w:p>
          <w:p w14:paraId="5050F2F5">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2</w:t>
            </w:r>
          </w:p>
        </w:tc>
        <w:tc>
          <w:tcPr>
            <w:tcW w:w="1113" w:type="dxa"/>
            <w:vAlign w:val="top"/>
          </w:tcPr>
          <w:p w14:paraId="690D9D21">
            <w:pPr>
              <w:spacing w:line="249" w:lineRule="auto"/>
              <w:rPr>
                <w:rFonts w:ascii="Arial"/>
                <w:sz w:val="21"/>
                <w:highlight w:val="none"/>
              </w:rPr>
            </w:pPr>
          </w:p>
          <w:p w14:paraId="5BD57767">
            <w:pPr>
              <w:spacing w:line="249" w:lineRule="auto"/>
              <w:rPr>
                <w:rFonts w:ascii="Arial"/>
                <w:sz w:val="21"/>
                <w:highlight w:val="none"/>
              </w:rPr>
            </w:pPr>
          </w:p>
          <w:p w14:paraId="080C9AE0">
            <w:pPr>
              <w:spacing w:line="249" w:lineRule="auto"/>
              <w:rPr>
                <w:rFonts w:ascii="Arial"/>
                <w:sz w:val="21"/>
                <w:highlight w:val="none"/>
              </w:rPr>
            </w:pPr>
          </w:p>
          <w:p w14:paraId="6DA7FB39">
            <w:pPr>
              <w:spacing w:line="250" w:lineRule="auto"/>
              <w:rPr>
                <w:rFonts w:ascii="Arial"/>
                <w:sz w:val="21"/>
                <w:highlight w:val="none"/>
              </w:rPr>
            </w:pPr>
          </w:p>
          <w:p w14:paraId="1410FB07">
            <w:pPr>
              <w:spacing w:line="250" w:lineRule="auto"/>
              <w:rPr>
                <w:rFonts w:ascii="Arial"/>
                <w:sz w:val="21"/>
                <w:highlight w:val="none"/>
              </w:rPr>
            </w:pPr>
          </w:p>
          <w:p w14:paraId="3393349F">
            <w:pPr>
              <w:spacing w:line="250" w:lineRule="auto"/>
              <w:rPr>
                <w:rFonts w:ascii="Arial"/>
                <w:sz w:val="21"/>
                <w:highlight w:val="none"/>
              </w:rPr>
            </w:pPr>
          </w:p>
          <w:p w14:paraId="47DEB04C">
            <w:pPr>
              <w:spacing w:line="250" w:lineRule="auto"/>
              <w:rPr>
                <w:rFonts w:ascii="Arial"/>
                <w:sz w:val="21"/>
                <w:highlight w:val="none"/>
              </w:rPr>
            </w:pPr>
          </w:p>
          <w:p w14:paraId="7F128421">
            <w:pPr>
              <w:spacing w:line="250" w:lineRule="auto"/>
              <w:rPr>
                <w:rFonts w:ascii="Arial"/>
                <w:sz w:val="21"/>
                <w:highlight w:val="none"/>
              </w:rPr>
            </w:pPr>
          </w:p>
          <w:p w14:paraId="777A5261">
            <w:pPr>
              <w:spacing w:line="250" w:lineRule="auto"/>
              <w:rPr>
                <w:rFonts w:ascii="Arial"/>
                <w:sz w:val="21"/>
                <w:highlight w:val="none"/>
              </w:rPr>
            </w:pPr>
          </w:p>
          <w:p w14:paraId="0C273863">
            <w:pPr>
              <w:spacing w:line="250" w:lineRule="auto"/>
              <w:rPr>
                <w:rFonts w:ascii="Arial"/>
                <w:sz w:val="21"/>
                <w:highlight w:val="none"/>
              </w:rPr>
            </w:pPr>
          </w:p>
          <w:p w14:paraId="5313899C">
            <w:pPr>
              <w:spacing w:line="250" w:lineRule="auto"/>
              <w:rPr>
                <w:rFonts w:ascii="Arial"/>
                <w:sz w:val="21"/>
                <w:highlight w:val="none"/>
              </w:rPr>
            </w:pPr>
          </w:p>
          <w:p w14:paraId="41B6B826">
            <w:pPr>
              <w:spacing w:line="250" w:lineRule="auto"/>
              <w:rPr>
                <w:rFonts w:ascii="Arial"/>
                <w:sz w:val="21"/>
                <w:highlight w:val="none"/>
              </w:rPr>
            </w:pPr>
          </w:p>
          <w:p w14:paraId="1D0ED4F5">
            <w:pPr>
              <w:spacing w:line="250" w:lineRule="auto"/>
              <w:rPr>
                <w:rFonts w:ascii="Arial"/>
                <w:sz w:val="21"/>
                <w:highlight w:val="none"/>
              </w:rPr>
            </w:pPr>
          </w:p>
          <w:p w14:paraId="4B8D4856">
            <w:pPr>
              <w:spacing w:line="250" w:lineRule="auto"/>
              <w:rPr>
                <w:rFonts w:ascii="Arial"/>
                <w:sz w:val="21"/>
                <w:highlight w:val="none"/>
              </w:rPr>
            </w:pPr>
          </w:p>
          <w:p w14:paraId="2E8BDB81">
            <w:pPr>
              <w:spacing w:line="250" w:lineRule="auto"/>
              <w:rPr>
                <w:rFonts w:ascii="Arial"/>
                <w:sz w:val="21"/>
                <w:highlight w:val="none"/>
              </w:rPr>
            </w:pPr>
          </w:p>
          <w:p w14:paraId="355FDC51">
            <w:pPr>
              <w:spacing w:line="250" w:lineRule="auto"/>
              <w:rPr>
                <w:rFonts w:ascii="Arial"/>
                <w:sz w:val="21"/>
                <w:highlight w:val="none"/>
              </w:rPr>
            </w:pPr>
          </w:p>
          <w:p w14:paraId="17EE1E73">
            <w:pPr>
              <w:spacing w:line="250" w:lineRule="auto"/>
              <w:rPr>
                <w:rFonts w:ascii="Arial"/>
                <w:sz w:val="21"/>
                <w:highlight w:val="none"/>
              </w:rPr>
            </w:pPr>
          </w:p>
          <w:p w14:paraId="33675F78">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7. 1.4</w:t>
            </w:r>
          </w:p>
        </w:tc>
        <w:tc>
          <w:tcPr>
            <w:tcW w:w="7644" w:type="dxa"/>
            <w:tcBorders>
              <w:right w:val="single" w:color="000000" w:sz="6" w:space="0"/>
            </w:tcBorders>
            <w:vAlign w:val="top"/>
          </w:tcPr>
          <w:p w14:paraId="2604CA63">
            <w:pPr>
              <w:spacing w:before="141" w:line="297" w:lineRule="auto"/>
              <w:ind w:left="318" w:right="5223" w:firstLine="15"/>
              <w:rPr>
                <w:rFonts w:ascii="宋体" w:hAnsi="宋体" w:eastAsia="宋体" w:cs="宋体"/>
                <w:sz w:val="20"/>
                <w:szCs w:val="20"/>
                <w:highlight w:val="none"/>
              </w:rPr>
            </w:pPr>
            <w:r>
              <w:rPr>
                <w:rFonts w:ascii="Times New Roman" w:hAnsi="Times New Roman" w:eastAsia="Times New Roman" w:cs="Times New Roman"/>
                <w:spacing w:val="2"/>
                <w:sz w:val="20"/>
                <w:szCs w:val="20"/>
                <w:highlight w:val="none"/>
              </w:rPr>
              <w:t xml:space="preserve">17. 1.4  </w:t>
            </w:r>
            <w:r>
              <w:rPr>
                <w:rFonts w:ascii="宋体" w:hAnsi="宋体" w:eastAsia="宋体" w:cs="宋体"/>
                <w:spacing w:val="1"/>
                <w:sz w:val="20"/>
                <w:szCs w:val="20"/>
                <w:highlight w:val="none"/>
              </w:rPr>
              <w:t>单价子目的计量</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本</w:t>
            </w:r>
            <w:r>
              <w:rPr>
                <w:rFonts w:ascii="宋体" w:hAnsi="宋体" w:eastAsia="宋体" w:cs="宋体"/>
                <w:spacing w:val="6"/>
                <w:sz w:val="20"/>
                <w:szCs w:val="20"/>
                <w:highlight w:val="none"/>
              </w:rPr>
              <w:t>项约定为：</w:t>
            </w:r>
          </w:p>
          <w:p w14:paraId="73085F40">
            <w:pPr>
              <w:spacing w:before="154" w:line="369" w:lineRule="auto"/>
              <w:ind w:left="111" w:right="104" w:firstLine="217"/>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已标价工程量清单中的单价子目工程量为估算工程量。结算工程量是承包</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人</w:t>
            </w:r>
            <w:r>
              <w:rPr>
                <w:rFonts w:ascii="宋体" w:hAnsi="宋体" w:eastAsia="宋体" w:cs="宋体"/>
                <w:spacing w:val="9"/>
                <w:sz w:val="20"/>
                <w:szCs w:val="20"/>
                <w:highlight w:val="none"/>
              </w:rPr>
              <w:t>实际完成的，并按合同约定的计量方法进行计量的工程量。</w:t>
            </w:r>
          </w:p>
          <w:p w14:paraId="63D2E7B2">
            <w:pPr>
              <w:spacing w:before="2" w:line="369" w:lineRule="auto"/>
              <w:ind w:left="111" w:right="104" w:firstLine="216"/>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承包人对已完成的工程进行计量，向监理人提交进度付款申请单、已完成</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工</w:t>
            </w:r>
            <w:r>
              <w:rPr>
                <w:rFonts w:ascii="宋体" w:hAnsi="宋体" w:eastAsia="宋体" w:cs="宋体"/>
                <w:spacing w:val="8"/>
                <w:sz w:val="20"/>
                <w:szCs w:val="20"/>
                <w:highlight w:val="none"/>
              </w:rPr>
              <w:t>程量报表和有关计量资料。</w:t>
            </w:r>
          </w:p>
          <w:p w14:paraId="1E5D85C1">
            <w:pPr>
              <w:spacing w:before="3" w:line="368"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监理人对承包人提交的工程量报表进行复核，以确定实际完成的工程量。</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对数量有异</w:t>
            </w:r>
            <w:r>
              <w:rPr>
                <w:rFonts w:ascii="宋体" w:hAnsi="宋体" w:eastAsia="宋体" w:cs="宋体"/>
                <w:spacing w:val="5"/>
                <w:sz w:val="20"/>
                <w:szCs w:val="20"/>
                <w:highlight w:val="none"/>
              </w:rPr>
              <w:t xml:space="preserve">议的，可要求承包人按第 </w:t>
            </w:r>
            <w:r>
              <w:rPr>
                <w:rFonts w:ascii="Times New Roman" w:hAnsi="Times New Roman" w:eastAsia="Times New Roman" w:cs="Times New Roman"/>
                <w:spacing w:val="5"/>
                <w:sz w:val="20"/>
                <w:szCs w:val="20"/>
                <w:highlight w:val="none"/>
              </w:rPr>
              <w:t xml:space="preserve">8.2 </w:t>
            </w:r>
            <w:r>
              <w:rPr>
                <w:rFonts w:ascii="宋体" w:hAnsi="宋体" w:eastAsia="宋体" w:cs="宋体"/>
                <w:spacing w:val="5"/>
                <w:sz w:val="20"/>
                <w:szCs w:val="20"/>
                <w:highlight w:val="none"/>
              </w:rPr>
              <w:t>款约定进行共同复核和抽样复测。承包人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应</w:t>
            </w:r>
            <w:r>
              <w:rPr>
                <w:rFonts w:ascii="宋体" w:hAnsi="宋体" w:eastAsia="宋体" w:cs="宋体"/>
                <w:spacing w:val="12"/>
                <w:sz w:val="20"/>
                <w:szCs w:val="20"/>
                <w:highlight w:val="none"/>
              </w:rPr>
              <w:t>协助监理人进行复核并按监理人要求提供补充计量资料。承包人未按监理人要</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求</w:t>
            </w:r>
            <w:r>
              <w:rPr>
                <w:rFonts w:ascii="宋体" w:hAnsi="宋体" w:eastAsia="宋体" w:cs="宋体"/>
                <w:spacing w:val="13"/>
                <w:sz w:val="20"/>
                <w:szCs w:val="20"/>
                <w:highlight w:val="none"/>
              </w:rPr>
              <w:t>参</w:t>
            </w:r>
            <w:r>
              <w:rPr>
                <w:rFonts w:ascii="宋体" w:hAnsi="宋体" w:eastAsia="宋体" w:cs="宋体"/>
                <w:spacing w:val="9"/>
                <w:sz w:val="20"/>
                <w:szCs w:val="20"/>
                <w:highlight w:val="none"/>
              </w:rPr>
              <w:t>加复核，监理人复核或修正的工程量视为承包人实际完成的工程量。</w:t>
            </w:r>
          </w:p>
          <w:p w14:paraId="31C156A6">
            <w:pPr>
              <w:spacing w:before="2" w:line="369" w:lineRule="auto"/>
              <w:ind w:left="108" w:right="104"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监理人认为有必要时，可通知承包人共同进行联合测量、计量，承包人应</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遵照执行。</w:t>
            </w:r>
          </w:p>
          <w:p w14:paraId="313C2343">
            <w:pPr>
              <w:spacing w:line="369" w:lineRule="auto"/>
              <w:ind w:left="108" w:right="102"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5</w:t>
            </w:r>
            <w:r>
              <w:rPr>
                <w:rFonts w:ascii="宋体" w:hAnsi="宋体" w:eastAsia="宋体" w:cs="宋体"/>
                <w:spacing w:val="11"/>
                <w:sz w:val="20"/>
                <w:szCs w:val="20"/>
                <w:highlight w:val="none"/>
              </w:rPr>
              <w:t>) 承包人完成工程量清单中每个子目的工程量后，监理人应要求承包人派员</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共同对每个子目的历次计量报表进行汇总， 以核实最终结算工程量。监理人可</w:t>
            </w:r>
            <w:r>
              <w:rPr>
                <w:rFonts w:ascii="宋体" w:hAnsi="宋体" w:eastAsia="宋体" w:cs="宋体"/>
                <w:spacing w:val="7"/>
                <w:sz w:val="20"/>
                <w:szCs w:val="20"/>
                <w:highlight w:val="none"/>
              </w:rPr>
              <w:t>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求承包人提供补充计量资料， 以确定最后一次进度付款的准确工程量。承包人</w:t>
            </w:r>
            <w:r>
              <w:rPr>
                <w:rFonts w:ascii="宋体" w:hAnsi="宋体" w:eastAsia="宋体" w:cs="宋体"/>
                <w:spacing w:val="7"/>
                <w:sz w:val="20"/>
                <w:szCs w:val="20"/>
                <w:highlight w:val="none"/>
              </w:rPr>
              <w:t>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按</w:t>
            </w:r>
            <w:r>
              <w:rPr>
                <w:rFonts w:ascii="宋体" w:hAnsi="宋体" w:eastAsia="宋体" w:cs="宋体"/>
                <w:spacing w:val="12"/>
                <w:sz w:val="20"/>
                <w:szCs w:val="20"/>
                <w:highlight w:val="none"/>
              </w:rPr>
              <w:t>监理人要求派员参加的，监理人最终核实的工程量视为承包人完成该子目的准</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确工程量。</w:t>
            </w:r>
          </w:p>
          <w:p w14:paraId="09AB1703">
            <w:pPr>
              <w:spacing w:line="369"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9"/>
                <w:sz w:val="20"/>
                <w:szCs w:val="20"/>
                <w:highlight w:val="none"/>
              </w:rPr>
              <w:t>6</w:t>
            </w:r>
            <w:r>
              <w:rPr>
                <w:rFonts w:ascii="宋体" w:hAnsi="宋体" w:eastAsia="宋体" w:cs="宋体"/>
                <w:spacing w:val="9"/>
                <w:sz w:val="20"/>
                <w:szCs w:val="20"/>
                <w:highlight w:val="none"/>
              </w:rPr>
              <w:t xml:space="preserve">) 监理人应在收到承包人提交的工程量报表后的 </w:t>
            </w:r>
            <w:r>
              <w:rPr>
                <w:rFonts w:ascii="Times New Roman" w:hAnsi="Times New Roman" w:eastAsia="Times New Roman" w:cs="Times New Roman"/>
                <w:spacing w:val="9"/>
                <w:sz w:val="20"/>
                <w:szCs w:val="20"/>
                <w:highlight w:val="none"/>
              </w:rPr>
              <w:t xml:space="preserve">7 </w:t>
            </w:r>
            <w:r>
              <w:rPr>
                <w:rFonts w:ascii="宋体" w:hAnsi="宋体" w:eastAsia="宋体" w:cs="宋体"/>
                <w:spacing w:val="9"/>
                <w:sz w:val="20"/>
                <w:szCs w:val="20"/>
                <w:highlight w:val="none"/>
              </w:rPr>
              <w:t>天内进行复核，监理人未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在</w:t>
            </w:r>
            <w:r>
              <w:rPr>
                <w:rFonts w:ascii="宋体" w:hAnsi="宋体" w:eastAsia="宋体" w:cs="宋体"/>
                <w:spacing w:val="12"/>
                <w:sz w:val="20"/>
                <w:szCs w:val="20"/>
                <w:highlight w:val="none"/>
              </w:rPr>
              <w:t>约定时间内复核的，承包人提交的工程量报表中的工程量视为承包人实际完成</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的</w:t>
            </w:r>
            <w:r>
              <w:rPr>
                <w:rFonts w:ascii="宋体" w:hAnsi="宋体" w:eastAsia="宋体" w:cs="宋体"/>
                <w:spacing w:val="9"/>
                <w:sz w:val="20"/>
                <w:szCs w:val="20"/>
                <w:highlight w:val="none"/>
              </w:rPr>
              <w:t>工</w:t>
            </w:r>
            <w:r>
              <w:rPr>
                <w:rFonts w:ascii="宋体" w:hAnsi="宋体" w:eastAsia="宋体" w:cs="宋体"/>
                <w:spacing w:val="8"/>
                <w:sz w:val="20"/>
                <w:szCs w:val="20"/>
                <w:highlight w:val="none"/>
              </w:rPr>
              <w:t>程量，据此计算工程价款。</w:t>
            </w:r>
          </w:p>
          <w:p w14:paraId="1A030DEB">
            <w:pPr>
              <w:spacing w:line="401" w:lineRule="exact"/>
              <w:ind w:left="328"/>
              <w:rPr>
                <w:rFonts w:ascii="宋体" w:hAnsi="宋体" w:eastAsia="宋体" w:cs="宋体"/>
                <w:sz w:val="20"/>
                <w:szCs w:val="20"/>
                <w:highlight w:val="none"/>
              </w:rPr>
            </w:pPr>
            <w:r>
              <w:rPr>
                <w:rFonts w:ascii="宋体" w:hAnsi="宋体" w:eastAsia="宋体" w:cs="宋体"/>
                <w:spacing w:val="16"/>
                <w:position w:val="15"/>
                <w:sz w:val="20"/>
                <w:szCs w:val="20"/>
                <w:highlight w:val="none"/>
              </w:rPr>
              <w:t>(</w:t>
            </w:r>
            <w:r>
              <w:rPr>
                <w:rFonts w:ascii="Times New Roman" w:hAnsi="Times New Roman" w:eastAsia="Times New Roman" w:cs="Times New Roman"/>
                <w:spacing w:val="11"/>
                <w:position w:val="15"/>
                <w:sz w:val="20"/>
                <w:szCs w:val="20"/>
                <w:highlight w:val="none"/>
              </w:rPr>
              <w:t>7</w:t>
            </w:r>
            <w:r>
              <w:rPr>
                <w:rFonts w:ascii="宋体" w:hAnsi="宋体" w:eastAsia="宋体" w:cs="宋体"/>
                <w:spacing w:val="11"/>
                <w:position w:val="15"/>
                <w:sz w:val="20"/>
                <w:szCs w:val="20"/>
                <w:highlight w:val="none"/>
              </w:rPr>
              <w:t>) 承包人未在已标价工程量清单中填入单价或总额价的工程子目，将被认为</w:t>
            </w:r>
            <w:r>
              <w:rPr>
                <w:rFonts w:hint="eastAsia" w:ascii="宋体" w:hAnsi="宋体" w:eastAsia="宋体" w:cs="宋体"/>
                <w:spacing w:val="11"/>
                <w:position w:val="15"/>
                <w:sz w:val="20"/>
                <w:szCs w:val="20"/>
                <w:highlight w:val="none"/>
              </w:rPr>
              <w:t>其已包含在本合同的其他子目的单价和总额价中，发包人将不另行支付。</w:t>
            </w:r>
          </w:p>
          <w:p w14:paraId="3639F8B2">
            <w:pPr>
              <w:spacing w:before="1" w:line="225" w:lineRule="auto"/>
              <w:ind w:left="110" w:leftChars="0"/>
              <w:rPr>
                <w:rFonts w:ascii="宋体" w:hAnsi="宋体" w:eastAsia="宋体" w:cs="宋体"/>
                <w:spacing w:val="22"/>
                <w:sz w:val="20"/>
                <w:szCs w:val="20"/>
                <w:highlight w:val="none"/>
              </w:rPr>
            </w:pP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2E95653">
            <w:pPr>
              <w:spacing w:line="253" w:lineRule="auto"/>
              <w:rPr>
                <w:rFonts w:ascii="Arial"/>
                <w:sz w:val="21"/>
                <w:highlight w:val="none"/>
              </w:rPr>
            </w:pPr>
          </w:p>
          <w:p w14:paraId="3F587960">
            <w:pPr>
              <w:spacing w:line="254" w:lineRule="auto"/>
              <w:rPr>
                <w:rFonts w:ascii="Arial"/>
                <w:sz w:val="21"/>
                <w:highlight w:val="none"/>
              </w:rPr>
            </w:pPr>
          </w:p>
          <w:p w14:paraId="5E9251A5">
            <w:pPr>
              <w:spacing w:line="254" w:lineRule="auto"/>
              <w:rPr>
                <w:rFonts w:ascii="Arial"/>
                <w:sz w:val="21"/>
                <w:highlight w:val="none"/>
              </w:rPr>
            </w:pPr>
          </w:p>
          <w:p w14:paraId="5108C9D6">
            <w:pPr>
              <w:spacing w:line="254" w:lineRule="auto"/>
              <w:rPr>
                <w:rFonts w:ascii="Arial"/>
                <w:sz w:val="21"/>
                <w:highlight w:val="none"/>
              </w:rPr>
            </w:pPr>
          </w:p>
          <w:p w14:paraId="299D28D6">
            <w:pPr>
              <w:spacing w:line="254" w:lineRule="auto"/>
              <w:rPr>
                <w:rFonts w:ascii="Arial"/>
                <w:sz w:val="21"/>
                <w:highlight w:val="none"/>
              </w:rPr>
            </w:pPr>
          </w:p>
          <w:p w14:paraId="19C5EA44">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3</w:t>
            </w:r>
          </w:p>
        </w:tc>
        <w:tc>
          <w:tcPr>
            <w:tcW w:w="1113" w:type="dxa"/>
            <w:vAlign w:val="top"/>
          </w:tcPr>
          <w:p w14:paraId="2AC247D5">
            <w:pPr>
              <w:spacing w:line="253" w:lineRule="auto"/>
              <w:rPr>
                <w:rFonts w:ascii="Arial"/>
                <w:sz w:val="21"/>
                <w:highlight w:val="none"/>
              </w:rPr>
            </w:pPr>
          </w:p>
          <w:p w14:paraId="3CE6CCDF">
            <w:pPr>
              <w:spacing w:line="254" w:lineRule="auto"/>
              <w:rPr>
                <w:rFonts w:ascii="Arial"/>
                <w:sz w:val="21"/>
                <w:highlight w:val="none"/>
              </w:rPr>
            </w:pPr>
          </w:p>
          <w:p w14:paraId="59688BD1">
            <w:pPr>
              <w:spacing w:line="254" w:lineRule="auto"/>
              <w:rPr>
                <w:rFonts w:ascii="Arial"/>
                <w:sz w:val="21"/>
                <w:highlight w:val="none"/>
              </w:rPr>
            </w:pPr>
          </w:p>
          <w:p w14:paraId="2E7C871F">
            <w:pPr>
              <w:spacing w:line="254" w:lineRule="auto"/>
              <w:rPr>
                <w:rFonts w:ascii="Arial"/>
                <w:sz w:val="21"/>
                <w:highlight w:val="none"/>
              </w:rPr>
            </w:pPr>
          </w:p>
          <w:p w14:paraId="09B59BF7">
            <w:pPr>
              <w:spacing w:line="254" w:lineRule="auto"/>
              <w:rPr>
                <w:rFonts w:ascii="Arial"/>
                <w:sz w:val="21"/>
                <w:highlight w:val="none"/>
              </w:rPr>
            </w:pPr>
          </w:p>
          <w:p w14:paraId="44CD239E">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9"/>
                <w:sz w:val="20"/>
                <w:szCs w:val="20"/>
                <w:highlight w:val="none"/>
              </w:rPr>
              <w:t>1</w:t>
            </w:r>
            <w:r>
              <w:rPr>
                <w:rFonts w:ascii="Times New Roman" w:hAnsi="Times New Roman" w:eastAsia="Times New Roman" w:cs="Times New Roman"/>
                <w:spacing w:val="-6"/>
                <w:sz w:val="20"/>
                <w:szCs w:val="20"/>
                <w:highlight w:val="none"/>
              </w:rPr>
              <w:t>7. 1.5</w:t>
            </w:r>
          </w:p>
        </w:tc>
        <w:tc>
          <w:tcPr>
            <w:tcW w:w="7644" w:type="dxa"/>
            <w:tcBorders>
              <w:right w:val="single" w:color="000000" w:sz="6" w:space="0"/>
            </w:tcBorders>
            <w:vAlign w:val="top"/>
          </w:tcPr>
          <w:p w14:paraId="6F6AC6BF">
            <w:pPr>
              <w:spacing w:before="141" w:line="226" w:lineRule="auto"/>
              <w:ind w:left="318"/>
              <w:rPr>
                <w:rFonts w:ascii="宋体" w:hAnsi="宋体" w:eastAsia="宋体" w:cs="宋体"/>
                <w:sz w:val="20"/>
                <w:szCs w:val="20"/>
                <w:highlight w:val="none"/>
              </w:rPr>
            </w:pPr>
            <w:r>
              <w:rPr>
                <w:rFonts w:ascii="宋体" w:hAnsi="宋体" w:eastAsia="宋体" w:cs="宋体"/>
                <w:spacing w:val="18"/>
                <w:sz w:val="20"/>
                <w:szCs w:val="20"/>
                <w:highlight w:val="none"/>
              </w:rPr>
              <w:t>本</w:t>
            </w:r>
            <w:r>
              <w:rPr>
                <w:rFonts w:ascii="宋体" w:hAnsi="宋体" w:eastAsia="宋体" w:cs="宋体"/>
                <w:spacing w:val="9"/>
                <w:sz w:val="20"/>
                <w:szCs w:val="20"/>
                <w:highlight w:val="none"/>
              </w:rPr>
              <w:t>项目工程量清单中总价子目的分解和计量支付原则补充以下约定：</w:t>
            </w:r>
          </w:p>
          <w:p w14:paraId="0B66C528">
            <w:pPr>
              <w:spacing w:before="155" w:line="369" w:lineRule="auto"/>
              <w:ind w:left="109" w:right="104"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工程一切险及第三方责任险在首次计量支付前必须按要求投保完成，并在</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第</w:t>
            </w:r>
            <w:r>
              <w:rPr>
                <w:rFonts w:ascii="宋体" w:hAnsi="宋体" w:eastAsia="宋体" w:cs="宋体"/>
                <w:spacing w:val="14"/>
                <w:sz w:val="20"/>
                <w:szCs w:val="20"/>
                <w:highlight w:val="none"/>
              </w:rPr>
              <w:t>一</w:t>
            </w:r>
            <w:r>
              <w:rPr>
                <w:rFonts w:ascii="宋体" w:hAnsi="宋体" w:eastAsia="宋体" w:cs="宋体"/>
                <w:spacing w:val="9"/>
                <w:sz w:val="20"/>
                <w:szCs w:val="20"/>
                <w:highlight w:val="none"/>
              </w:rPr>
              <w:t>次支付时将保险单及发票原件送至发包人，并在计量支付凭证中附复印件。</w:t>
            </w:r>
          </w:p>
          <w:p w14:paraId="733CE18C">
            <w:pPr>
              <w:spacing w:before="2" w:line="369" w:lineRule="auto"/>
              <w:ind w:left="112" w:right="104" w:firstLine="215"/>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竣工文件在完成编制，上交给发包人后，经发包人验收合格后，由发包人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一</w:t>
            </w:r>
            <w:r>
              <w:rPr>
                <w:rFonts w:ascii="宋体" w:hAnsi="宋体" w:eastAsia="宋体" w:cs="宋体"/>
                <w:spacing w:val="6"/>
                <w:sz w:val="20"/>
                <w:szCs w:val="20"/>
                <w:highlight w:val="none"/>
              </w:rPr>
              <w:t>次性支付。</w:t>
            </w:r>
          </w:p>
          <w:p w14:paraId="0E072FEB">
            <w:pPr>
              <w:spacing w:before="138" w:line="369" w:lineRule="auto"/>
              <w:ind w:left="111" w:right="104" w:firstLine="216"/>
              <w:rPr>
                <w:rFonts w:ascii="宋体" w:hAnsi="宋体" w:eastAsia="宋体" w:cs="宋体"/>
                <w:sz w:val="20"/>
                <w:szCs w:val="20"/>
                <w:highlight w:val="none"/>
              </w:rPr>
            </w:pPr>
            <w:r>
              <w:rPr>
                <w:rFonts w:ascii="宋体" w:hAnsi="宋体" w:eastAsia="宋体" w:cs="宋体"/>
                <w:spacing w:val="15"/>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临时占地、临时供电、电信设施、工地建设及拌和站安装与拆除在首次计</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量时支付 </w:t>
            </w:r>
            <w:r>
              <w:rPr>
                <w:rFonts w:ascii="Times New Roman" w:hAnsi="Times New Roman" w:eastAsia="Times New Roman" w:cs="Times New Roman"/>
                <w:spacing w:val="2"/>
                <w:sz w:val="20"/>
                <w:szCs w:val="20"/>
                <w:highlight w:val="none"/>
              </w:rPr>
              <w:t xml:space="preserve">50% </w:t>
            </w:r>
            <w:r>
              <w:rPr>
                <w:rFonts w:ascii="宋体" w:hAnsi="宋体" w:eastAsia="宋体" w:cs="宋体"/>
                <w:spacing w:val="2"/>
                <w:sz w:val="20"/>
                <w:szCs w:val="20"/>
                <w:highlight w:val="none"/>
              </w:rPr>
              <w:t>，在工程交工验收前再</w:t>
            </w:r>
            <w:r>
              <w:rPr>
                <w:rFonts w:ascii="宋体" w:hAnsi="宋体" w:eastAsia="宋体" w:cs="宋体"/>
                <w:spacing w:val="1"/>
                <w:sz w:val="20"/>
                <w:szCs w:val="20"/>
                <w:highlight w:val="none"/>
              </w:rPr>
              <w:t xml:space="preserve">支付 </w:t>
            </w:r>
            <w:r>
              <w:rPr>
                <w:rFonts w:ascii="Times New Roman" w:hAnsi="Times New Roman" w:eastAsia="Times New Roman" w:cs="Times New Roman"/>
                <w:spacing w:val="1"/>
                <w:sz w:val="20"/>
                <w:szCs w:val="20"/>
                <w:highlight w:val="none"/>
              </w:rPr>
              <w:t xml:space="preserve">30% </w:t>
            </w:r>
            <w:r>
              <w:rPr>
                <w:rFonts w:ascii="宋体" w:hAnsi="宋体" w:eastAsia="宋体" w:cs="宋体"/>
                <w:spacing w:val="1"/>
                <w:sz w:val="20"/>
                <w:szCs w:val="20"/>
                <w:highlight w:val="none"/>
              </w:rPr>
              <w:t xml:space="preserve">，另 </w:t>
            </w:r>
            <w:r>
              <w:rPr>
                <w:rFonts w:ascii="Times New Roman" w:hAnsi="Times New Roman" w:eastAsia="Times New Roman" w:cs="Times New Roman"/>
                <w:spacing w:val="1"/>
                <w:sz w:val="20"/>
                <w:szCs w:val="20"/>
                <w:highlight w:val="none"/>
              </w:rPr>
              <w:t>20%</w:t>
            </w:r>
            <w:r>
              <w:rPr>
                <w:rFonts w:ascii="宋体" w:hAnsi="宋体" w:eastAsia="宋体" w:cs="宋体"/>
                <w:spacing w:val="1"/>
                <w:sz w:val="20"/>
                <w:szCs w:val="20"/>
                <w:highlight w:val="none"/>
              </w:rPr>
              <w:t>在交工验收后支付。</w:t>
            </w: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施工环保费、安全生产费用、交通封闭费、供水与排污设施及临时道路修</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建</w:t>
            </w:r>
            <w:r>
              <w:rPr>
                <w:rFonts w:ascii="宋体" w:hAnsi="宋体" w:eastAsia="宋体" w:cs="宋体"/>
                <w:spacing w:val="11"/>
                <w:sz w:val="20"/>
                <w:szCs w:val="20"/>
                <w:highlight w:val="none"/>
              </w:rPr>
              <w:t>均</w:t>
            </w:r>
            <w:r>
              <w:rPr>
                <w:rFonts w:ascii="宋体" w:hAnsi="宋体" w:eastAsia="宋体" w:cs="宋体"/>
                <w:spacing w:val="8"/>
                <w:sz w:val="20"/>
                <w:szCs w:val="20"/>
                <w:highlight w:val="none"/>
              </w:rPr>
              <w:t>按工程量完成比例进行计量支付。</w:t>
            </w:r>
          </w:p>
          <w:p w14:paraId="681E4740">
            <w:pPr>
              <w:spacing w:line="400" w:lineRule="exact"/>
              <w:ind w:left="328"/>
              <w:rPr>
                <w:rFonts w:ascii="宋体" w:hAnsi="宋体" w:eastAsia="宋体" w:cs="宋体"/>
                <w:sz w:val="20"/>
                <w:szCs w:val="20"/>
                <w:highlight w:val="none"/>
              </w:rPr>
            </w:pPr>
            <w:r>
              <w:rPr>
                <w:rFonts w:ascii="宋体" w:hAnsi="宋体" w:eastAsia="宋体" w:cs="宋体"/>
                <w:spacing w:val="22"/>
                <w:position w:val="14"/>
                <w:sz w:val="20"/>
                <w:szCs w:val="20"/>
                <w:highlight w:val="none"/>
              </w:rPr>
              <w:t>(</w:t>
            </w:r>
            <w:r>
              <w:rPr>
                <w:rFonts w:ascii="Times New Roman" w:hAnsi="Times New Roman" w:eastAsia="Times New Roman" w:cs="Times New Roman"/>
                <w:spacing w:val="17"/>
                <w:position w:val="14"/>
                <w:sz w:val="20"/>
                <w:szCs w:val="20"/>
                <w:highlight w:val="none"/>
              </w:rPr>
              <w:t>5</w:t>
            </w:r>
            <w:r>
              <w:rPr>
                <w:rFonts w:ascii="宋体" w:hAnsi="宋体" w:eastAsia="宋体" w:cs="宋体"/>
                <w:spacing w:val="11"/>
                <w:position w:val="14"/>
                <w:sz w:val="20"/>
                <w:szCs w:val="20"/>
                <w:highlight w:val="none"/>
              </w:rPr>
              <w:t>) 安全生产费用需报送材料：安全生产费用需上报材料二份，总监办一份，</w:t>
            </w:r>
          </w:p>
          <w:p w14:paraId="01EF674E">
            <w:pPr>
              <w:spacing w:before="1" w:line="309" w:lineRule="auto"/>
              <w:ind w:left="109" w:leftChars="0" w:right="104" w:rightChars="0" w:firstLine="218" w:firstLineChars="0"/>
              <w:rPr>
                <w:rFonts w:ascii="宋体" w:hAnsi="宋体" w:eastAsia="宋体" w:cs="宋体"/>
                <w:spacing w:val="22"/>
                <w:sz w:val="20"/>
                <w:szCs w:val="20"/>
                <w:highlight w:val="none"/>
              </w:rPr>
            </w:pPr>
            <w:r>
              <w:rPr>
                <w:rFonts w:ascii="宋体" w:hAnsi="宋体" w:eastAsia="宋体" w:cs="宋体"/>
                <w:spacing w:val="7"/>
                <w:sz w:val="20"/>
                <w:szCs w:val="20"/>
                <w:highlight w:val="none"/>
              </w:rPr>
              <w:t>发</w:t>
            </w:r>
            <w:r>
              <w:rPr>
                <w:rFonts w:ascii="宋体" w:hAnsi="宋体" w:eastAsia="宋体" w:cs="宋体"/>
                <w:spacing w:val="6"/>
                <w:sz w:val="20"/>
                <w:szCs w:val="20"/>
                <w:highlight w:val="none"/>
              </w:rPr>
              <w:t>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F55D4EE">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4</w:t>
            </w:r>
          </w:p>
        </w:tc>
        <w:tc>
          <w:tcPr>
            <w:tcW w:w="1113" w:type="dxa"/>
            <w:vAlign w:val="top"/>
          </w:tcPr>
          <w:p w14:paraId="0C64465A">
            <w:pPr>
              <w:spacing w:before="92"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B2810E2">
            <w:pPr>
              <w:spacing w:before="100" w:line="280" w:lineRule="exact"/>
              <w:ind w:left="318" w:leftChars="0"/>
              <w:rPr>
                <w:rFonts w:ascii="宋体" w:hAnsi="宋体" w:eastAsia="宋体" w:cs="宋体"/>
                <w:spacing w:val="7"/>
                <w:sz w:val="20"/>
                <w:szCs w:val="20"/>
                <w:highlight w:val="none"/>
              </w:rPr>
            </w:pPr>
            <w:r>
              <w:rPr>
                <w:rFonts w:ascii="宋体" w:hAnsi="宋体" w:eastAsia="宋体" w:cs="宋体"/>
                <w:spacing w:val="8"/>
                <w:position w:val="1"/>
                <w:sz w:val="20"/>
                <w:szCs w:val="20"/>
                <w:highlight w:val="none"/>
              </w:rPr>
              <w:t>开工预付款</w:t>
            </w:r>
            <w:r>
              <w:rPr>
                <w:rFonts w:ascii="宋体" w:hAnsi="宋体" w:eastAsia="宋体" w:cs="宋体"/>
                <w:spacing w:val="5"/>
                <w:position w:val="1"/>
                <w:sz w:val="20"/>
                <w:szCs w:val="20"/>
                <w:highlight w:val="none"/>
              </w:rPr>
              <w:t>金</w:t>
            </w:r>
            <w:r>
              <w:rPr>
                <w:rFonts w:ascii="宋体" w:hAnsi="宋体" w:eastAsia="宋体" w:cs="宋体"/>
                <w:spacing w:val="4"/>
                <w:position w:val="1"/>
                <w:sz w:val="20"/>
                <w:szCs w:val="20"/>
                <w:highlight w:val="none"/>
              </w:rPr>
              <w:t xml:space="preserve">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签约合同价 (不含暂列金额)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549E2F8">
            <w:pPr>
              <w:spacing w:before="148"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35</w:t>
            </w:r>
          </w:p>
        </w:tc>
        <w:tc>
          <w:tcPr>
            <w:tcW w:w="1113" w:type="dxa"/>
            <w:vAlign w:val="top"/>
          </w:tcPr>
          <w:p w14:paraId="632C94DD">
            <w:pPr>
              <w:spacing w:before="111"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2</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2F29E69F">
            <w:pPr>
              <w:spacing w:before="120" w:line="280" w:lineRule="exact"/>
              <w:ind w:left="318" w:leftChars="0"/>
              <w:rPr>
                <w:rFonts w:ascii="宋体" w:hAnsi="宋体" w:eastAsia="宋体" w:cs="宋体"/>
                <w:spacing w:val="7"/>
                <w:sz w:val="20"/>
                <w:szCs w:val="20"/>
                <w:highlight w:val="none"/>
              </w:rPr>
            </w:pPr>
            <w:r>
              <w:rPr>
                <w:rFonts w:ascii="宋体" w:hAnsi="宋体" w:eastAsia="宋体" w:cs="宋体"/>
                <w:spacing w:val="1"/>
                <w:position w:val="1"/>
                <w:sz w:val="20"/>
                <w:szCs w:val="20"/>
                <w:highlight w:val="none"/>
              </w:rPr>
              <w:t xml:space="preserve">材料、设备预付款比例，规定为：   </w:t>
            </w:r>
            <w:r>
              <w:rPr>
                <w:rFonts w:ascii="Times New Roman" w:hAnsi="Times New Roman" w:eastAsia="Times New Roman" w:cs="Times New Roman"/>
                <w:spacing w:val="1"/>
                <w:position w:val="1"/>
                <w:sz w:val="20"/>
                <w:szCs w:val="20"/>
                <w:highlight w:val="none"/>
              </w:rPr>
              <w:t xml:space="preserve">/    </w:t>
            </w:r>
            <w:r>
              <w:rPr>
                <w:rFonts w:ascii="宋体" w:hAnsi="宋体" w:eastAsia="宋体" w:cs="宋体"/>
                <w:spacing w:val="1"/>
                <w:position w:val="1"/>
                <w:sz w:val="20"/>
                <w:szCs w:val="20"/>
                <w:highlight w:val="none"/>
              </w:rPr>
              <w:t>等主要材料、设备单据所</w:t>
            </w:r>
            <w:r>
              <w:rPr>
                <w:rFonts w:ascii="宋体" w:hAnsi="宋体" w:eastAsia="宋体" w:cs="宋体"/>
                <w:position w:val="1"/>
                <w:sz w:val="20"/>
                <w:szCs w:val="20"/>
                <w:highlight w:val="none"/>
              </w:rPr>
              <w:t xml:space="preserve">列费用的  </w:t>
            </w:r>
            <w:r>
              <w:rPr>
                <w:rFonts w:ascii="Times New Roman" w:hAnsi="Times New Roman" w:eastAsia="Times New Roman" w:cs="Times New Roman"/>
                <w:position w:val="1"/>
                <w:sz w:val="20"/>
                <w:szCs w:val="20"/>
                <w:highlight w:val="none"/>
              </w:rPr>
              <w:t>/    %</w:t>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E75A5A0">
            <w:pPr>
              <w:spacing w:line="244" w:lineRule="auto"/>
              <w:rPr>
                <w:rFonts w:ascii="Arial"/>
                <w:sz w:val="21"/>
                <w:highlight w:val="none"/>
              </w:rPr>
            </w:pPr>
          </w:p>
          <w:p w14:paraId="704A5A11">
            <w:pPr>
              <w:spacing w:line="245" w:lineRule="auto"/>
              <w:rPr>
                <w:rFonts w:ascii="Arial"/>
                <w:sz w:val="21"/>
                <w:highlight w:val="none"/>
              </w:rPr>
            </w:pPr>
          </w:p>
          <w:p w14:paraId="0A5F2955">
            <w:pPr>
              <w:spacing w:before="57"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36</w:t>
            </w:r>
          </w:p>
        </w:tc>
        <w:tc>
          <w:tcPr>
            <w:tcW w:w="1113" w:type="dxa"/>
            <w:vAlign w:val="top"/>
          </w:tcPr>
          <w:p w14:paraId="504FD871">
            <w:pPr>
              <w:spacing w:line="244" w:lineRule="auto"/>
              <w:rPr>
                <w:rFonts w:ascii="Arial"/>
                <w:sz w:val="21"/>
                <w:highlight w:val="none"/>
              </w:rPr>
            </w:pPr>
          </w:p>
          <w:p w14:paraId="6923AB4B">
            <w:pPr>
              <w:spacing w:line="245" w:lineRule="auto"/>
              <w:rPr>
                <w:rFonts w:ascii="Arial"/>
                <w:sz w:val="21"/>
                <w:highlight w:val="none"/>
              </w:rPr>
            </w:pPr>
          </w:p>
          <w:p w14:paraId="77882117">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7.3. 1</w:t>
            </w:r>
          </w:p>
        </w:tc>
        <w:tc>
          <w:tcPr>
            <w:tcW w:w="7644" w:type="dxa"/>
            <w:tcBorders>
              <w:right w:val="single" w:color="000000" w:sz="6" w:space="0"/>
            </w:tcBorders>
            <w:vAlign w:val="top"/>
          </w:tcPr>
          <w:p w14:paraId="038AA5D1">
            <w:pPr>
              <w:spacing w:before="121" w:line="337" w:lineRule="auto"/>
              <w:ind w:left="110" w:leftChars="0" w:right="102" w:rightChars="0" w:firstLine="236" w:firstLineChars="0"/>
              <w:rPr>
                <w:rFonts w:ascii="宋体" w:hAnsi="宋体" w:eastAsia="宋体" w:cs="宋体"/>
                <w:spacing w:val="7"/>
                <w:sz w:val="20"/>
                <w:szCs w:val="20"/>
                <w:highlight w:val="none"/>
              </w:rPr>
            </w:pPr>
            <w:r>
              <w:rPr>
                <w:rFonts w:ascii="宋体" w:hAnsi="宋体" w:eastAsia="宋体" w:cs="宋体"/>
                <w:b/>
                <w:bCs/>
                <w:spacing w:val="14"/>
                <w:sz w:val="20"/>
                <w:szCs w:val="20"/>
                <w:highlight w:val="none"/>
              </w:rPr>
              <w:t>付</w:t>
            </w:r>
            <w:r>
              <w:rPr>
                <w:rFonts w:ascii="宋体" w:hAnsi="宋体" w:eastAsia="宋体" w:cs="宋体"/>
                <w:b/>
                <w:bCs/>
                <w:spacing w:val="9"/>
                <w:sz w:val="20"/>
                <w:szCs w:val="20"/>
                <w:highlight w:val="none"/>
              </w:rPr>
              <w:t>款</w:t>
            </w:r>
            <w:r>
              <w:rPr>
                <w:rFonts w:ascii="宋体" w:hAnsi="宋体" w:eastAsia="宋体" w:cs="宋体"/>
                <w:b/>
                <w:bCs/>
                <w:spacing w:val="7"/>
                <w:sz w:val="20"/>
                <w:szCs w:val="20"/>
                <w:highlight w:val="none"/>
              </w:rPr>
              <w:t>周期及方式：</w:t>
            </w:r>
            <w:r>
              <w:rPr>
                <w:rFonts w:hint="eastAsia" w:ascii="宋体" w:hAnsi="宋体" w:eastAsia="宋体" w:cs="宋体"/>
                <w:b/>
                <w:bCs/>
                <w:spacing w:val="7"/>
                <w:sz w:val="20"/>
                <w:szCs w:val="20"/>
                <w:highlight w:val="none"/>
              </w:rPr>
              <w:t>按工程月形象进度，发包人向承包人支付实际完成工程量的80%的工程价款；工程完工且决算价款经财政部门审定后，支付至审定价款的98%，预留2%作为质量保修金，质保金在质保期（一年）过后一次性返还（不计利息）。本项目采用固定单价合同。</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26947FBD">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7</w:t>
            </w:r>
          </w:p>
        </w:tc>
        <w:tc>
          <w:tcPr>
            <w:tcW w:w="1113" w:type="dxa"/>
            <w:vAlign w:val="top"/>
          </w:tcPr>
          <w:p w14:paraId="24D2DA3F">
            <w:pPr>
              <w:spacing w:before="94"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2"/>
                <w:sz w:val="20"/>
                <w:szCs w:val="20"/>
                <w:highlight w:val="none"/>
              </w:rPr>
              <w:t xml:space="preserve">17.3.3 </w:t>
            </w:r>
            <w:r>
              <w:rPr>
                <w:rFonts w:ascii="宋体" w:hAnsi="宋体" w:eastAsia="宋体" w:cs="宋体"/>
                <w:spacing w:val="2"/>
                <w:sz w:val="20"/>
                <w:szCs w:val="20"/>
                <w:highlight w:val="none"/>
              </w:rPr>
              <w:t>(</w:t>
            </w:r>
            <w:r>
              <w:rPr>
                <w:rFonts w:ascii="Times New Roman" w:hAnsi="Times New Roman" w:eastAsia="Times New Roman" w:cs="Times New Roman"/>
                <w:spacing w:val="2"/>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77EE56B5">
            <w:pPr>
              <w:spacing w:before="103" w:line="274" w:lineRule="auto"/>
              <w:ind w:left="345" w:leftChars="0"/>
              <w:rPr>
                <w:rFonts w:ascii="宋体" w:hAnsi="宋体" w:eastAsia="宋体" w:cs="宋体"/>
                <w:spacing w:val="7"/>
                <w:sz w:val="20"/>
                <w:szCs w:val="20"/>
                <w:highlight w:val="none"/>
              </w:rPr>
            </w:pPr>
            <w:r>
              <w:rPr>
                <w:rFonts w:ascii="宋体" w:hAnsi="宋体" w:eastAsia="宋体" w:cs="宋体"/>
                <w:spacing w:val="14"/>
                <w:sz w:val="20"/>
                <w:szCs w:val="20"/>
                <w:highlight w:val="none"/>
              </w:rPr>
              <w:t>进</w:t>
            </w:r>
            <w:r>
              <w:rPr>
                <w:rFonts w:ascii="宋体" w:hAnsi="宋体" w:eastAsia="宋体" w:cs="宋体"/>
                <w:spacing w:val="7"/>
                <w:sz w:val="20"/>
                <w:szCs w:val="20"/>
                <w:highlight w:val="none"/>
              </w:rPr>
              <w:t>度付款证书最低限额：</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万元</w:t>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5EE6F541">
            <w:pPr>
              <w:spacing w:line="271" w:lineRule="auto"/>
              <w:rPr>
                <w:rFonts w:ascii="Arial"/>
                <w:sz w:val="21"/>
                <w:highlight w:val="none"/>
              </w:rPr>
            </w:pPr>
          </w:p>
          <w:p w14:paraId="6CBC6726">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8</w:t>
            </w:r>
          </w:p>
        </w:tc>
        <w:tc>
          <w:tcPr>
            <w:tcW w:w="1113" w:type="dxa"/>
            <w:vAlign w:val="top"/>
          </w:tcPr>
          <w:p w14:paraId="269C0B28">
            <w:pPr>
              <w:spacing w:line="271" w:lineRule="auto"/>
              <w:rPr>
                <w:rFonts w:ascii="Arial"/>
                <w:sz w:val="21"/>
                <w:highlight w:val="none"/>
              </w:rPr>
            </w:pPr>
          </w:p>
          <w:p w14:paraId="05ECA2CB">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1"/>
                <w:sz w:val="20"/>
                <w:szCs w:val="20"/>
                <w:highlight w:val="none"/>
              </w:rPr>
              <w:t>17.3.</w:t>
            </w:r>
            <w:r>
              <w:rPr>
                <w:rFonts w:ascii="Times New Roman" w:hAnsi="Times New Roman" w:eastAsia="Times New Roman" w:cs="Times New Roman"/>
                <w:sz w:val="20"/>
                <w:szCs w:val="20"/>
                <w:highlight w:val="none"/>
              </w:rPr>
              <w:t>5</w:t>
            </w:r>
          </w:p>
        </w:tc>
        <w:tc>
          <w:tcPr>
            <w:tcW w:w="7644" w:type="dxa"/>
            <w:tcBorders>
              <w:right w:val="single" w:color="000000" w:sz="6" w:space="0"/>
            </w:tcBorders>
            <w:vAlign w:val="top"/>
          </w:tcPr>
          <w:p w14:paraId="43E6F97A">
            <w:pPr>
              <w:spacing w:before="140" w:line="399" w:lineRule="exact"/>
              <w:ind w:left="318"/>
              <w:rPr>
                <w:rFonts w:ascii="宋体" w:hAnsi="宋体" w:eastAsia="宋体" w:cs="宋体"/>
                <w:sz w:val="20"/>
                <w:szCs w:val="20"/>
                <w:highlight w:val="none"/>
              </w:rPr>
            </w:pPr>
            <w:r>
              <w:rPr>
                <w:rFonts w:ascii="宋体" w:hAnsi="宋体" w:eastAsia="宋体" w:cs="宋体"/>
                <w:spacing w:val="14"/>
                <w:position w:val="14"/>
                <w:sz w:val="20"/>
                <w:szCs w:val="20"/>
                <w:highlight w:val="none"/>
              </w:rPr>
              <w:t>农</w:t>
            </w:r>
            <w:r>
              <w:rPr>
                <w:rFonts w:ascii="宋体" w:hAnsi="宋体" w:eastAsia="宋体" w:cs="宋体"/>
                <w:spacing w:val="12"/>
                <w:position w:val="14"/>
                <w:sz w:val="20"/>
                <w:szCs w:val="20"/>
                <w:highlight w:val="none"/>
              </w:rPr>
              <w:t>民工工资保证金的额度、提交形式、使用范围、扣留条件、返还时间：执行</w:t>
            </w:r>
          </w:p>
          <w:p w14:paraId="73F4D354">
            <w:pPr>
              <w:spacing w:line="227" w:lineRule="auto"/>
              <w:ind w:left="112" w:leftChars="0"/>
              <w:rPr>
                <w:rFonts w:ascii="宋体" w:hAnsi="宋体" w:eastAsia="宋体" w:cs="宋体"/>
                <w:spacing w:val="7"/>
                <w:sz w:val="20"/>
                <w:szCs w:val="20"/>
                <w:highlight w:val="none"/>
              </w:rPr>
            </w:pPr>
            <w:r>
              <w:rPr>
                <w:rFonts w:ascii="宋体" w:hAnsi="宋体" w:eastAsia="宋体" w:cs="宋体"/>
                <w:spacing w:val="16"/>
                <w:sz w:val="20"/>
                <w:szCs w:val="20"/>
                <w:highlight w:val="none"/>
              </w:rPr>
              <w:t>项目</w:t>
            </w:r>
            <w:r>
              <w:rPr>
                <w:rFonts w:ascii="宋体" w:hAnsi="宋体" w:eastAsia="宋体" w:cs="宋体"/>
                <w:spacing w:val="15"/>
                <w:sz w:val="20"/>
                <w:szCs w:val="20"/>
                <w:highlight w:val="none"/>
              </w:rPr>
              <w:t>所</w:t>
            </w:r>
            <w:r>
              <w:rPr>
                <w:rFonts w:ascii="宋体" w:hAnsi="宋体" w:eastAsia="宋体" w:cs="宋体"/>
                <w:spacing w:val="8"/>
                <w:sz w:val="20"/>
                <w:szCs w:val="20"/>
                <w:highlight w:val="none"/>
              </w:rPr>
              <w:t>在省、市的人力资源社会保障行政部门、交通运输主管部门等施行的规定。</w:t>
            </w:r>
          </w:p>
        </w:tc>
      </w:tr>
      <w:tr w14:paraId="756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45B480B">
            <w:pPr>
              <w:spacing w:line="253" w:lineRule="auto"/>
              <w:rPr>
                <w:rFonts w:ascii="Arial"/>
                <w:sz w:val="21"/>
                <w:highlight w:val="none"/>
              </w:rPr>
            </w:pPr>
          </w:p>
          <w:p w14:paraId="49DB8AA8">
            <w:pPr>
              <w:spacing w:line="253" w:lineRule="auto"/>
              <w:rPr>
                <w:rFonts w:ascii="Arial"/>
                <w:sz w:val="21"/>
                <w:highlight w:val="none"/>
              </w:rPr>
            </w:pPr>
          </w:p>
          <w:p w14:paraId="13034D9F">
            <w:pPr>
              <w:spacing w:line="253" w:lineRule="auto"/>
              <w:rPr>
                <w:rFonts w:ascii="Arial"/>
                <w:sz w:val="21"/>
                <w:highlight w:val="none"/>
              </w:rPr>
            </w:pPr>
          </w:p>
          <w:p w14:paraId="440A7738">
            <w:pPr>
              <w:spacing w:line="253" w:lineRule="auto"/>
              <w:rPr>
                <w:rFonts w:ascii="Arial"/>
                <w:sz w:val="21"/>
                <w:highlight w:val="none"/>
              </w:rPr>
            </w:pPr>
          </w:p>
          <w:p w14:paraId="4673D3EC">
            <w:pPr>
              <w:spacing w:line="253" w:lineRule="auto"/>
              <w:rPr>
                <w:rFonts w:ascii="Arial"/>
                <w:sz w:val="21"/>
                <w:highlight w:val="none"/>
              </w:rPr>
            </w:pPr>
          </w:p>
          <w:p w14:paraId="15BF721C">
            <w:pPr>
              <w:spacing w:line="253" w:lineRule="auto"/>
              <w:rPr>
                <w:rFonts w:ascii="Arial"/>
                <w:sz w:val="21"/>
                <w:highlight w:val="none"/>
              </w:rPr>
            </w:pPr>
          </w:p>
          <w:p w14:paraId="4BDE96D1">
            <w:pPr>
              <w:spacing w:line="253" w:lineRule="auto"/>
              <w:rPr>
                <w:rFonts w:ascii="Arial"/>
                <w:sz w:val="21"/>
                <w:highlight w:val="none"/>
              </w:rPr>
            </w:pPr>
          </w:p>
          <w:p w14:paraId="1F40C0F4">
            <w:pPr>
              <w:spacing w:line="253" w:lineRule="auto"/>
              <w:rPr>
                <w:rFonts w:ascii="Arial"/>
                <w:sz w:val="21"/>
                <w:highlight w:val="none"/>
              </w:rPr>
            </w:pPr>
          </w:p>
          <w:p w14:paraId="1B6665C1">
            <w:pPr>
              <w:spacing w:line="253" w:lineRule="auto"/>
              <w:rPr>
                <w:rFonts w:ascii="Arial"/>
                <w:sz w:val="21"/>
                <w:highlight w:val="none"/>
              </w:rPr>
            </w:pPr>
          </w:p>
          <w:p w14:paraId="748EC8E8">
            <w:pPr>
              <w:spacing w:line="253" w:lineRule="auto"/>
              <w:rPr>
                <w:rFonts w:ascii="Arial"/>
                <w:sz w:val="21"/>
                <w:highlight w:val="none"/>
              </w:rPr>
            </w:pPr>
          </w:p>
          <w:p w14:paraId="7F04DAC2">
            <w:pPr>
              <w:spacing w:line="253" w:lineRule="auto"/>
              <w:rPr>
                <w:rFonts w:ascii="Arial"/>
                <w:sz w:val="21"/>
                <w:highlight w:val="none"/>
              </w:rPr>
            </w:pPr>
          </w:p>
          <w:p w14:paraId="0D5778C3">
            <w:pPr>
              <w:spacing w:line="253" w:lineRule="auto"/>
              <w:rPr>
                <w:rFonts w:ascii="Arial"/>
                <w:sz w:val="21"/>
                <w:highlight w:val="none"/>
              </w:rPr>
            </w:pPr>
          </w:p>
          <w:p w14:paraId="14C8A51E">
            <w:pPr>
              <w:spacing w:line="253" w:lineRule="auto"/>
              <w:rPr>
                <w:rFonts w:ascii="Arial"/>
                <w:sz w:val="21"/>
                <w:highlight w:val="none"/>
              </w:rPr>
            </w:pPr>
          </w:p>
          <w:p w14:paraId="6FA95115">
            <w:pPr>
              <w:spacing w:line="253" w:lineRule="auto"/>
              <w:rPr>
                <w:rFonts w:ascii="Arial"/>
                <w:sz w:val="21"/>
                <w:highlight w:val="none"/>
              </w:rPr>
            </w:pPr>
          </w:p>
          <w:p w14:paraId="1CAC29E9">
            <w:pPr>
              <w:spacing w:line="253" w:lineRule="auto"/>
              <w:rPr>
                <w:rFonts w:ascii="Arial"/>
                <w:sz w:val="21"/>
                <w:highlight w:val="none"/>
              </w:rPr>
            </w:pPr>
          </w:p>
          <w:p w14:paraId="2FAA8E7A">
            <w:pPr>
              <w:spacing w:line="253" w:lineRule="auto"/>
              <w:rPr>
                <w:rFonts w:ascii="Arial"/>
                <w:sz w:val="21"/>
                <w:highlight w:val="none"/>
              </w:rPr>
            </w:pPr>
          </w:p>
          <w:p w14:paraId="169C27ED">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0830557C">
            <w:pPr>
              <w:spacing w:line="253" w:lineRule="auto"/>
              <w:rPr>
                <w:rFonts w:ascii="Arial"/>
                <w:sz w:val="21"/>
                <w:highlight w:val="none"/>
              </w:rPr>
            </w:pPr>
          </w:p>
          <w:p w14:paraId="5C29C247">
            <w:pPr>
              <w:spacing w:line="253" w:lineRule="auto"/>
              <w:rPr>
                <w:rFonts w:ascii="Arial"/>
                <w:sz w:val="21"/>
                <w:highlight w:val="none"/>
              </w:rPr>
            </w:pPr>
          </w:p>
          <w:p w14:paraId="0A591C69">
            <w:pPr>
              <w:spacing w:line="253" w:lineRule="auto"/>
              <w:rPr>
                <w:rFonts w:ascii="Arial"/>
                <w:sz w:val="21"/>
                <w:highlight w:val="none"/>
              </w:rPr>
            </w:pPr>
          </w:p>
          <w:p w14:paraId="65B9C0F2">
            <w:pPr>
              <w:spacing w:line="253" w:lineRule="auto"/>
              <w:rPr>
                <w:rFonts w:ascii="Arial"/>
                <w:sz w:val="21"/>
                <w:highlight w:val="none"/>
              </w:rPr>
            </w:pPr>
          </w:p>
          <w:p w14:paraId="6691CA8E">
            <w:pPr>
              <w:spacing w:line="253" w:lineRule="auto"/>
              <w:rPr>
                <w:rFonts w:ascii="Arial"/>
                <w:sz w:val="21"/>
                <w:highlight w:val="none"/>
              </w:rPr>
            </w:pPr>
          </w:p>
          <w:p w14:paraId="1FEEAB39">
            <w:pPr>
              <w:spacing w:line="253" w:lineRule="auto"/>
              <w:rPr>
                <w:rFonts w:ascii="Arial"/>
                <w:sz w:val="21"/>
                <w:highlight w:val="none"/>
              </w:rPr>
            </w:pPr>
          </w:p>
          <w:p w14:paraId="0F4D4754">
            <w:pPr>
              <w:spacing w:line="253" w:lineRule="auto"/>
              <w:rPr>
                <w:rFonts w:ascii="Arial"/>
                <w:sz w:val="21"/>
                <w:highlight w:val="none"/>
              </w:rPr>
            </w:pPr>
          </w:p>
          <w:p w14:paraId="032966A1">
            <w:pPr>
              <w:spacing w:line="253" w:lineRule="auto"/>
              <w:rPr>
                <w:rFonts w:ascii="Arial"/>
                <w:sz w:val="21"/>
                <w:highlight w:val="none"/>
              </w:rPr>
            </w:pPr>
          </w:p>
          <w:p w14:paraId="3448F1FD">
            <w:pPr>
              <w:spacing w:line="253" w:lineRule="auto"/>
              <w:rPr>
                <w:rFonts w:ascii="Arial"/>
                <w:sz w:val="21"/>
                <w:highlight w:val="none"/>
              </w:rPr>
            </w:pPr>
          </w:p>
          <w:p w14:paraId="037ECF52">
            <w:pPr>
              <w:spacing w:line="253" w:lineRule="auto"/>
              <w:rPr>
                <w:rFonts w:ascii="Arial"/>
                <w:sz w:val="21"/>
                <w:highlight w:val="none"/>
              </w:rPr>
            </w:pPr>
          </w:p>
          <w:p w14:paraId="6CC32590">
            <w:pPr>
              <w:spacing w:line="253" w:lineRule="auto"/>
              <w:rPr>
                <w:rFonts w:ascii="Arial"/>
                <w:sz w:val="21"/>
                <w:highlight w:val="none"/>
              </w:rPr>
            </w:pPr>
          </w:p>
          <w:p w14:paraId="5925A061">
            <w:pPr>
              <w:spacing w:line="253" w:lineRule="auto"/>
              <w:rPr>
                <w:rFonts w:ascii="Arial"/>
                <w:sz w:val="21"/>
                <w:highlight w:val="none"/>
              </w:rPr>
            </w:pPr>
          </w:p>
          <w:p w14:paraId="50102EB7">
            <w:pPr>
              <w:spacing w:line="253" w:lineRule="auto"/>
              <w:rPr>
                <w:rFonts w:ascii="Arial"/>
                <w:sz w:val="21"/>
                <w:highlight w:val="none"/>
              </w:rPr>
            </w:pPr>
          </w:p>
          <w:p w14:paraId="453B63FF">
            <w:pPr>
              <w:spacing w:line="253" w:lineRule="auto"/>
              <w:rPr>
                <w:rFonts w:ascii="Arial"/>
                <w:sz w:val="21"/>
                <w:highlight w:val="none"/>
              </w:rPr>
            </w:pPr>
          </w:p>
          <w:p w14:paraId="754EF056">
            <w:pPr>
              <w:spacing w:line="253" w:lineRule="auto"/>
              <w:rPr>
                <w:rFonts w:ascii="Arial"/>
                <w:sz w:val="21"/>
                <w:highlight w:val="none"/>
              </w:rPr>
            </w:pPr>
          </w:p>
          <w:p w14:paraId="56BDA4D8">
            <w:pPr>
              <w:spacing w:line="253" w:lineRule="auto"/>
              <w:rPr>
                <w:rFonts w:ascii="Arial"/>
                <w:sz w:val="21"/>
                <w:highlight w:val="none"/>
              </w:rPr>
            </w:pPr>
          </w:p>
          <w:p w14:paraId="1ADDDF40">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53E349E7">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3DA10586">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148F7F73">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637F8E3D">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2ACD595A">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6F447E15">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471B24C4">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59332056">
            <w:pPr>
              <w:spacing w:before="1" w:line="226" w:lineRule="auto"/>
              <w:ind w:left="328" w:leftChars="0"/>
              <w:rPr>
                <w:rFonts w:ascii="宋体" w:hAnsi="宋体" w:eastAsia="宋体" w:cs="宋体"/>
                <w:spacing w:val="7"/>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1" w:hRule="atLeast"/>
        </w:trPr>
        <w:tc>
          <w:tcPr>
            <w:tcW w:w="534" w:type="dxa"/>
            <w:tcBorders>
              <w:left w:val="single" w:color="000000" w:sz="6" w:space="0"/>
            </w:tcBorders>
            <w:vAlign w:val="top"/>
          </w:tcPr>
          <w:p w14:paraId="7DBE4AB7">
            <w:pPr>
              <w:spacing w:line="253" w:lineRule="auto"/>
              <w:rPr>
                <w:rFonts w:ascii="Arial"/>
                <w:sz w:val="21"/>
                <w:highlight w:val="none"/>
              </w:rPr>
            </w:pPr>
          </w:p>
          <w:p w14:paraId="4A0D9308">
            <w:pPr>
              <w:spacing w:line="253" w:lineRule="auto"/>
              <w:rPr>
                <w:rFonts w:ascii="Arial"/>
                <w:sz w:val="21"/>
                <w:highlight w:val="none"/>
              </w:rPr>
            </w:pPr>
          </w:p>
          <w:p w14:paraId="3BFCA229">
            <w:pPr>
              <w:spacing w:line="253" w:lineRule="auto"/>
              <w:rPr>
                <w:rFonts w:ascii="Arial"/>
                <w:sz w:val="21"/>
                <w:highlight w:val="none"/>
              </w:rPr>
            </w:pPr>
          </w:p>
          <w:p w14:paraId="0425FB4E">
            <w:pPr>
              <w:spacing w:line="253" w:lineRule="auto"/>
              <w:rPr>
                <w:rFonts w:ascii="Arial"/>
                <w:sz w:val="21"/>
                <w:highlight w:val="none"/>
              </w:rPr>
            </w:pPr>
          </w:p>
          <w:p w14:paraId="5ECADAF9">
            <w:pPr>
              <w:spacing w:line="253" w:lineRule="auto"/>
              <w:rPr>
                <w:rFonts w:ascii="Arial"/>
                <w:sz w:val="21"/>
                <w:highlight w:val="none"/>
              </w:rPr>
            </w:pPr>
          </w:p>
          <w:p w14:paraId="62A49DA4">
            <w:pPr>
              <w:spacing w:line="253" w:lineRule="auto"/>
              <w:rPr>
                <w:rFonts w:ascii="Arial"/>
                <w:sz w:val="21"/>
                <w:highlight w:val="none"/>
              </w:rPr>
            </w:pPr>
          </w:p>
          <w:p w14:paraId="4B05BBD1">
            <w:pPr>
              <w:spacing w:line="253" w:lineRule="auto"/>
              <w:rPr>
                <w:rFonts w:ascii="Arial"/>
                <w:sz w:val="21"/>
                <w:highlight w:val="none"/>
              </w:rPr>
            </w:pPr>
          </w:p>
          <w:p w14:paraId="68445E2B">
            <w:pPr>
              <w:spacing w:line="253" w:lineRule="auto"/>
              <w:rPr>
                <w:rFonts w:ascii="Arial"/>
                <w:sz w:val="21"/>
                <w:highlight w:val="none"/>
              </w:rPr>
            </w:pPr>
          </w:p>
          <w:p w14:paraId="30075999">
            <w:pPr>
              <w:spacing w:line="253" w:lineRule="auto"/>
              <w:rPr>
                <w:rFonts w:ascii="Arial"/>
                <w:sz w:val="21"/>
                <w:highlight w:val="none"/>
              </w:rPr>
            </w:pPr>
          </w:p>
          <w:p w14:paraId="1DA26D83">
            <w:pPr>
              <w:spacing w:line="253" w:lineRule="auto"/>
              <w:rPr>
                <w:rFonts w:ascii="Arial"/>
                <w:sz w:val="21"/>
                <w:highlight w:val="none"/>
              </w:rPr>
            </w:pPr>
          </w:p>
          <w:p w14:paraId="33B4A78E">
            <w:pPr>
              <w:spacing w:line="253" w:lineRule="auto"/>
              <w:rPr>
                <w:rFonts w:ascii="Arial"/>
                <w:sz w:val="21"/>
                <w:highlight w:val="none"/>
              </w:rPr>
            </w:pPr>
          </w:p>
          <w:p w14:paraId="5C2050AC">
            <w:pPr>
              <w:spacing w:line="253" w:lineRule="auto"/>
              <w:rPr>
                <w:rFonts w:ascii="Arial"/>
                <w:sz w:val="21"/>
                <w:highlight w:val="none"/>
              </w:rPr>
            </w:pPr>
          </w:p>
          <w:p w14:paraId="3A468701">
            <w:pPr>
              <w:spacing w:line="253" w:lineRule="auto"/>
              <w:rPr>
                <w:rFonts w:ascii="Arial"/>
                <w:sz w:val="21"/>
                <w:highlight w:val="none"/>
              </w:rPr>
            </w:pPr>
          </w:p>
          <w:p w14:paraId="77C11A81">
            <w:pPr>
              <w:spacing w:line="253" w:lineRule="auto"/>
              <w:rPr>
                <w:rFonts w:ascii="Arial"/>
                <w:sz w:val="21"/>
                <w:highlight w:val="none"/>
              </w:rPr>
            </w:pPr>
          </w:p>
          <w:p w14:paraId="7AB9606D">
            <w:pPr>
              <w:spacing w:line="253" w:lineRule="auto"/>
              <w:rPr>
                <w:rFonts w:ascii="Arial"/>
                <w:sz w:val="21"/>
                <w:highlight w:val="none"/>
              </w:rPr>
            </w:pPr>
          </w:p>
          <w:p w14:paraId="739687D3">
            <w:pPr>
              <w:spacing w:line="253" w:lineRule="auto"/>
              <w:rPr>
                <w:rFonts w:ascii="Arial"/>
                <w:sz w:val="21"/>
                <w:highlight w:val="none"/>
              </w:rPr>
            </w:pPr>
          </w:p>
          <w:p w14:paraId="76D657B4">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3C77DE8D">
            <w:pPr>
              <w:spacing w:line="253" w:lineRule="auto"/>
              <w:rPr>
                <w:rFonts w:ascii="Arial"/>
                <w:sz w:val="21"/>
                <w:highlight w:val="none"/>
              </w:rPr>
            </w:pPr>
          </w:p>
          <w:p w14:paraId="1FBF19BD">
            <w:pPr>
              <w:spacing w:line="253" w:lineRule="auto"/>
              <w:rPr>
                <w:rFonts w:ascii="Arial"/>
                <w:sz w:val="21"/>
                <w:highlight w:val="none"/>
              </w:rPr>
            </w:pPr>
          </w:p>
          <w:p w14:paraId="034243B4">
            <w:pPr>
              <w:spacing w:line="253" w:lineRule="auto"/>
              <w:rPr>
                <w:rFonts w:ascii="Arial"/>
                <w:sz w:val="21"/>
                <w:highlight w:val="none"/>
              </w:rPr>
            </w:pPr>
          </w:p>
          <w:p w14:paraId="4EA435FB">
            <w:pPr>
              <w:spacing w:line="253" w:lineRule="auto"/>
              <w:rPr>
                <w:rFonts w:ascii="Arial"/>
                <w:sz w:val="21"/>
                <w:highlight w:val="none"/>
              </w:rPr>
            </w:pPr>
          </w:p>
          <w:p w14:paraId="7841DA7B">
            <w:pPr>
              <w:spacing w:line="253" w:lineRule="auto"/>
              <w:rPr>
                <w:rFonts w:ascii="Arial"/>
                <w:sz w:val="21"/>
                <w:highlight w:val="none"/>
              </w:rPr>
            </w:pPr>
          </w:p>
          <w:p w14:paraId="453B3806">
            <w:pPr>
              <w:spacing w:line="253" w:lineRule="auto"/>
              <w:rPr>
                <w:rFonts w:ascii="Arial"/>
                <w:sz w:val="21"/>
                <w:highlight w:val="none"/>
              </w:rPr>
            </w:pPr>
          </w:p>
          <w:p w14:paraId="13FDBB9D">
            <w:pPr>
              <w:spacing w:line="253" w:lineRule="auto"/>
              <w:rPr>
                <w:rFonts w:ascii="Arial"/>
                <w:sz w:val="21"/>
                <w:highlight w:val="none"/>
              </w:rPr>
            </w:pPr>
          </w:p>
          <w:p w14:paraId="23DB5024">
            <w:pPr>
              <w:spacing w:line="253" w:lineRule="auto"/>
              <w:rPr>
                <w:rFonts w:ascii="Arial"/>
                <w:sz w:val="21"/>
                <w:highlight w:val="none"/>
              </w:rPr>
            </w:pPr>
          </w:p>
          <w:p w14:paraId="66852E59">
            <w:pPr>
              <w:spacing w:line="253" w:lineRule="auto"/>
              <w:rPr>
                <w:rFonts w:ascii="Arial"/>
                <w:sz w:val="21"/>
                <w:highlight w:val="none"/>
              </w:rPr>
            </w:pPr>
          </w:p>
          <w:p w14:paraId="5A498682">
            <w:pPr>
              <w:spacing w:line="253" w:lineRule="auto"/>
              <w:rPr>
                <w:rFonts w:ascii="Arial"/>
                <w:sz w:val="21"/>
                <w:highlight w:val="none"/>
              </w:rPr>
            </w:pPr>
          </w:p>
          <w:p w14:paraId="097FEB71">
            <w:pPr>
              <w:spacing w:line="253" w:lineRule="auto"/>
              <w:rPr>
                <w:rFonts w:ascii="Arial"/>
                <w:sz w:val="21"/>
                <w:highlight w:val="none"/>
              </w:rPr>
            </w:pPr>
          </w:p>
          <w:p w14:paraId="2321B0E3">
            <w:pPr>
              <w:spacing w:line="253" w:lineRule="auto"/>
              <w:rPr>
                <w:rFonts w:ascii="Arial"/>
                <w:sz w:val="21"/>
                <w:highlight w:val="none"/>
              </w:rPr>
            </w:pPr>
          </w:p>
          <w:p w14:paraId="0347EF12">
            <w:pPr>
              <w:spacing w:line="253" w:lineRule="auto"/>
              <w:rPr>
                <w:rFonts w:ascii="Arial"/>
                <w:sz w:val="21"/>
                <w:highlight w:val="none"/>
              </w:rPr>
            </w:pPr>
          </w:p>
          <w:p w14:paraId="5467D401">
            <w:pPr>
              <w:spacing w:line="253" w:lineRule="auto"/>
              <w:rPr>
                <w:rFonts w:ascii="Arial"/>
                <w:sz w:val="21"/>
                <w:highlight w:val="none"/>
              </w:rPr>
            </w:pPr>
          </w:p>
          <w:p w14:paraId="0AF7D49F">
            <w:pPr>
              <w:spacing w:line="253" w:lineRule="auto"/>
              <w:rPr>
                <w:rFonts w:ascii="Arial"/>
                <w:sz w:val="21"/>
                <w:highlight w:val="none"/>
              </w:rPr>
            </w:pPr>
          </w:p>
          <w:p w14:paraId="0F3C13C6">
            <w:pPr>
              <w:spacing w:line="253" w:lineRule="auto"/>
              <w:rPr>
                <w:rFonts w:ascii="Arial"/>
                <w:sz w:val="21"/>
                <w:highlight w:val="none"/>
              </w:rPr>
            </w:pPr>
          </w:p>
          <w:p w14:paraId="72CC5684">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48A1A9CD">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672D1E4F">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5E145E7D">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210DC3FA">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00704B97">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1387199A">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532FE142">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0E05B9BB">
            <w:pPr>
              <w:spacing w:before="138" w:line="369" w:lineRule="auto"/>
              <w:ind w:left="108" w:right="102" w:firstLine="4"/>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r>
              <w:rPr>
                <w:rFonts w:ascii="宋体" w:hAnsi="宋体" w:eastAsia="宋体" w:cs="宋体"/>
                <w:spacing w:val="12"/>
                <w:sz w:val="20"/>
                <w:szCs w:val="20"/>
                <w:highlight w:val="none"/>
              </w:rPr>
              <w:t>行保函形式的，在发包人与承包人完成本合同工程价款结算后，承包人应在工</w:t>
            </w:r>
            <w:r>
              <w:rPr>
                <w:rFonts w:ascii="宋体" w:hAnsi="宋体" w:eastAsia="宋体" w:cs="宋体"/>
                <w:spacing w:val="10"/>
                <w:sz w:val="20"/>
                <w:szCs w:val="20"/>
                <w:highlight w:val="none"/>
              </w:rPr>
              <w:t>程</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验收证书颁发时，按《项目专用合同条款数据表》 中规定的额度向发包人提交</w:t>
            </w:r>
            <w:r>
              <w:rPr>
                <w:rFonts w:ascii="宋体" w:hAnsi="宋体" w:eastAsia="宋体" w:cs="宋体"/>
                <w:spacing w:val="7"/>
                <w:sz w:val="20"/>
                <w:szCs w:val="20"/>
                <w:highlight w:val="none"/>
              </w:rPr>
              <w:t>质</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量</w:t>
            </w:r>
            <w:r>
              <w:rPr>
                <w:rFonts w:ascii="宋体" w:hAnsi="宋体" w:eastAsia="宋体" w:cs="宋体"/>
                <w:spacing w:val="12"/>
                <w:sz w:val="20"/>
                <w:szCs w:val="20"/>
                <w:highlight w:val="none"/>
              </w:rPr>
              <w:t>保证金银行保函，出具保函的银行须具有相应担保能力，且按照发包人批准的</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格</w:t>
            </w:r>
            <w:r>
              <w:rPr>
                <w:rFonts w:ascii="宋体" w:hAnsi="宋体" w:eastAsia="宋体" w:cs="宋体"/>
                <w:spacing w:val="15"/>
                <w:sz w:val="20"/>
                <w:szCs w:val="20"/>
                <w:highlight w:val="none"/>
              </w:rPr>
              <w:t>式</w:t>
            </w:r>
            <w:r>
              <w:rPr>
                <w:rFonts w:ascii="宋体" w:hAnsi="宋体" w:eastAsia="宋体" w:cs="宋体"/>
                <w:spacing w:val="9"/>
                <w:sz w:val="20"/>
                <w:szCs w:val="20"/>
                <w:highlight w:val="none"/>
              </w:rPr>
              <w:t>出具，所需费用由承包人承担，保函的有效期应至缺陷责任期满之日止。</w:t>
            </w:r>
          </w:p>
          <w:p w14:paraId="32707F15">
            <w:pPr>
              <w:spacing w:line="369" w:lineRule="auto"/>
              <w:ind w:left="109" w:right="11" w:firstLine="218"/>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承包人履约保证金采用银行保函形式、质量保证金采用现金 (电汇或银</w:t>
            </w:r>
            <w:r>
              <w:rPr>
                <w:rFonts w:ascii="宋体" w:hAnsi="宋体" w:eastAsia="宋体" w:cs="宋体"/>
                <w:spacing w:val="5"/>
                <w:sz w:val="20"/>
                <w:szCs w:val="20"/>
                <w:highlight w:val="none"/>
              </w:rPr>
              <w:t>行</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汇票</w:t>
            </w:r>
            <w:r>
              <w:rPr>
                <w:rFonts w:ascii="宋体" w:hAnsi="宋体" w:eastAsia="宋体" w:cs="宋体"/>
                <w:spacing w:val="8"/>
                <w:sz w:val="20"/>
                <w:szCs w:val="20"/>
                <w:highlight w:val="none"/>
              </w:rPr>
              <w:t>形式) 的，承包人应在工程验收证书颁发时，按《项目专用合同条款数据表》</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中规定的额度向发包人提交质量保证金</w:t>
            </w:r>
            <w:r>
              <w:rPr>
                <w:rFonts w:ascii="宋体" w:hAnsi="宋体" w:eastAsia="宋体" w:cs="宋体"/>
                <w:spacing w:val="7"/>
                <w:sz w:val="20"/>
                <w:szCs w:val="20"/>
                <w:highlight w:val="none"/>
              </w:rPr>
              <w:t>。</w:t>
            </w:r>
          </w:p>
          <w:p w14:paraId="250B6CF8">
            <w:pPr>
              <w:spacing w:line="400" w:lineRule="exact"/>
              <w:ind w:left="328"/>
              <w:rPr>
                <w:rFonts w:ascii="宋体" w:hAnsi="宋体" w:eastAsia="宋体" w:cs="宋体"/>
                <w:spacing w:val="7"/>
                <w:sz w:val="20"/>
                <w:szCs w:val="20"/>
                <w:highlight w:val="none"/>
              </w:rPr>
            </w:pPr>
            <w:r>
              <w:rPr>
                <w:rFonts w:ascii="宋体" w:hAnsi="宋体" w:eastAsia="宋体" w:cs="宋体"/>
                <w:spacing w:val="16"/>
                <w:position w:val="14"/>
                <w:sz w:val="20"/>
                <w:szCs w:val="20"/>
                <w:highlight w:val="none"/>
              </w:rPr>
              <w:t>(</w:t>
            </w:r>
            <w:r>
              <w:rPr>
                <w:rFonts w:ascii="Times New Roman" w:hAnsi="Times New Roman" w:eastAsia="Times New Roman" w:cs="Times New Roman"/>
                <w:spacing w:val="11"/>
                <w:position w:val="14"/>
                <w:sz w:val="20"/>
                <w:szCs w:val="20"/>
                <w:highlight w:val="none"/>
              </w:rPr>
              <w:t>5</w:t>
            </w:r>
            <w:r>
              <w:rPr>
                <w:rFonts w:ascii="宋体" w:hAnsi="宋体" w:eastAsia="宋体" w:cs="宋体"/>
                <w:spacing w:val="11"/>
                <w:position w:val="14"/>
                <w:sz w:val="20"/>
                <w:szCs w:val="20"/>
                <w:highlight w:val="none"/>
              </w:rPr>
              <w:t>) 质量保证金属建设资金，应专款专用，承包人不得用于抵债或作为处理经</w:t>
            </w:r>
            <w:r>
              <w:rPr>
                <w:rFonts w:hint="eastAsia" w:ascii="宋体" w:hAnsi="宋体" w:eastAsia="宋体" w:cs="宋体"/>
                <w:spacing w:val="11"/>
                <w:position w:val="14"/>
                <w:sz w:val="20"/>
                <w:szCs w:val="20"/>
                <w:highlight w:val="none"/>
              </w:rPr>
              <w:t>济纠纷</w:t>
            </w:r>
          </w:p>
        </w:tc>
      </w:tr>
    </w:tbl>
    <w:p w14:paraId="4CFCCA91">
      <w:pPr>
        <w:spacing w:line="92" w:lineRule="exact"/>
        <w:rPr>
          <w:rFonts w:ascii="Arial"/>
          <w:sz w:val="8"/>
          <w:highlight w:val="none"/>
        </w:rPr>
      </w:pPr>
    </w:p>
    <w:p w14:paraId="6753EDE7">
      <w:pPr>
        <w:rPr>
          <w:highlight w:val="none"/>
        </w:rPr>
        <w:sectPr>
          <w:headerReference r:id="rId30" w:type="default"/>
          <w:footerReference r:id="rId31" w:type="default"/>
          <w:pgSz w:w="11907" w:h="16840"/>
          <w:pgMar w:top="1165" w:right="1301" w:bottom="1333" w:left="1299" w:header="883" w:footer="1173" w:gutter="0"/>
          <w:cols w:space="720" w:num="1"/>
        </w:sectPr>
      </w:pPr>
    </w:p>
    <w:p w14:paraId="59A87AA8">
      <w:pPr>
        <w:spacing w:line="216" w:lineRule="exact"/>
        <w:rPr>
          <w:highlight w:val="none"/>
        </w:rPr>
      </w:pPr>
    </w:p>
    <w:p w14:paraId="77AFA500">
      <w:pPr>
        <w:rPr>
          <w:rFonts w:ascii="Arial"/>
          <w:sz w:val="21"/>
          <w:highlight w:val="none"/>
        </w:rPr>
      </w:pPr>
    </w:p>
    <w:p w14:paraId="7EF84A60">
      <w:pPr>
        <w:rPr>
          <w:highlight w:val="none"/>
        </w:rPr>
      </w:pPr>
    </w:p>
    <w:p w14:paraId="0CDC1D65">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624D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3D6CE3AE">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0</w:t>
            </w:r>
          </w:p>
        </w:tc>
        <w:tc>
          <w:tcPr>
            <w:tcW w:w="1113" w:type="dxa"/>
            <w:vAlign w:val="top"/>
          </w:tcPr>
          <w:p w14:paraId="19414927">
            <w:pPr>
              <w:spacing w:before="93"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17.5. 1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166A9498">
            <w:pPr>
              <w:spacing w:before="139" w:line="227"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承包人</w:t>
            </w:r>
            <w:r>
              <w:rPr>
                <w:rFonts w:ascii="宋体" w:hAnsi="宋体" w:eastAsia="宋体" w:cs="宋体"/>
                <w:spacing w:val="-7"/>
                <w:sz w:val="20"/>
                <w:szCs w:val="20"/>
                <w:highlight w:val="none"/>
              </w:rPr>
              <w:t>向</w:t>
            </w:r>
            <w:r>
              <w:rPr>
                <w:rFonts w:ascii="宋体" w:hAnsi="宋体" w:eastAsia="宋体" w:cs="宋体"/>
                <w:spacing w:val="-4"/>
                <w:sz w:val="20"/>
                <w:szCs w:val="20"/>
                <w:highlight w:val="none"/>
              </w:rPr>
              <w:t>监理人提交交工付款申请单 (包括相关证明材料) 的份数，规定为：</w:t>
            </w:r>
            <w:r>
              <w:rPr>
                <w:rFonts w:ascii="Times New Roman" w:hAnsi="Times New Roman" w:eastAsia="Times New Roman" w:cs="Times New Roman"/>
                <w:spacing w:val="-4"/>
                <w:sz w:val="20"/>
                <w:szCs w:val="20"/>
                <w:highlight w:val="none"/>
                <w:u w:val="none" w:color="auto"/>
              </w:rPr>
              <w:t xml:space="preserve">   6 </w:t>
            </w:r>
            <w:r>
              <w:rPr>
                <w:rFonts w:ascii="宋体" w:hAnsi="宋体" w:eastAsia="宋体" w:cs="宋体"/>
                <w:spacing w:val="-4"/>
                <w:sz w:val="20"/>
                <w:szCs w:val="20"/>
                <w:highlight w:val="none"/>
                <w:u w:val="none" w:color="auto"/>
              </w:rPr>
              <w:t>份</w:t>
            </w:r>
            <w:r>
              <w:rPr>
                <w:rFonts w:ascii="宋体" w:hAnsi="宋体" w:eastAsia="宋体" w:cs="宋体"/>
                <w:sz w:val="20"/>
                <w:szCs w:val="20"/>
                <w:highlight w:val="none"/>
                <w:u w:val="none" w:color="auto"/>
              </w:rPr>
              <w:t xml:space="preserve"> </w:t>
            </w:r>
          </w:p>
        </w:tc>
      </w:tr>
      <w:tr w14:paraId="174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481A6D8C">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1</w:t>
            </w:r>
          </w:p>
        </w:tc>
        <w:tc>
          <w:tcPr>
            <w:tcW w:w="1113" w:type="dxa"/>
            <w:vAlign w:val="top"/>
          </w:tcPr>
          <w:p w14:paraId="13E8F970">
            <w:pPr>
              <w:spacing w:before="91"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17.6. 1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EBE625B">
            <w:pPr>
              <w:spacing w:before="140" w:line="222"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 xml:space="preserve">承包人向监理人提交最终结清申请单 (包括相关证明材料) 的份数，规定为： </w:t>
            </w:r>
            <w:r>
              <w:rPr>
                <w:rFonts w:ascii="宋体" w:hAnsi="宋体" w:eastAsia="宋体" w:cs="宋体"/>
                <w:spacing w:val="-8"/>
                <w:sz w:val="20"/>
                <w:szCs w:val="20"/>
                <w:highlight w:val="none"/>
                <w:u w:val="none"/>
              </w:rPr>
              <w:t xml:space="preserve">  </w:t>
            </w:r>
            <w:r>
              <w:rPr>
                <w:rFonts w:ascii="Times New Roman" w:hAnsi="Times New Roman" w:eastAsia="Times New Roman" w:cs="Times New Roman"/>
                <w:spacing w:val="-8"/>
                <w:sz w:val="20"/>
                <w:szCs w:val="20"/>
                <w:highlight w:val="none"/>
                <w:u w:val="none"/>
              </w:rPr>
              <w:t xml:space="preserve">6 </w:t>
            </w:r>
            <w:r>
              <w:rPr>
                <w:rFonts w:ascii="宋体" w:hAnsi="宋体" w:eastAsia="宋体" w:cs="宋体"/>
                <w:spacing w:val="-5"/>
                <w:sz w:val="20"/>
                <w:szCs w:val="20"/>
                <w:highlight w:val="none"/>
                <w:u w:val="none"/>
              </w:rPr>
              <w:t>份</w:t>
            </w:r>
          </w:p>
        </w:tc>
      </w:tr>
      <w:tr w14:paraId="2E15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20A411B">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2</w:t>
            </w:r>
          </w:p>
        </w:tc>
        <w:tc>
          <w:tcPr>
            <w:tcW w:w="1113" w:type="dxa"/>
            <w:vAlign w:val="top"/>
          </w:tcPr>
          <w:p w14:paraId="0F84819C">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18.2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2</w:t>
            </w:r>
            <w:r>
              <w:rPr>
                <w:rFonts w:ascii="宋体" w:hAnsi="宋体" w:eastAsia="宋体" w:cs="宋体"/>
                <w:sz w:val="20"/>
                <w:szCs w:val="20"/>
                <w:highlight w:val="none"/>
              </w:rPr>
              <w:t>)</w:t>
            </w:r>
          </w:p>
        </w:tc>
        <w:tc>
          <w:tcPr>
            <w:tcW w:w="7644" w:type="dxa"/>
            <w:tcBorders>
              <w:right w:val="single" w:color="000000" w:sz="6" w:space="0"/>
            </w:tcBorders>
            <w:vAlign w:val="top"/>
          </w:tcPr>
          <w:p w14:paraId="209C667D">
            <w:pPr>
              <w:spacing w:before="157" w:line="224" w:lineRule="auto"/>
              <w:ind w:left="318"/>
              <w:rPr>
                <w:rFonts w:ascii="宋体" w:hAnsi="宋体" w:eastAsia="宋体" w:cs="宋体"/>
                <w:sz w:val="20"/>
                <w:szCs w:val="20"/>
                <w:highlight w:val="none"/>
              </w:rPr>
            </w:pPr>
            <w:r>
              <w:rPr>
                <w:rFonts w:ascii="宋体" w:hAnsi="宋体" w:eastAsia="宋体" w:cs="宋体"/>
                <w:spacing w:val="-5"/>
                <w:sz w:val="20"/>
                <w:szCs w:val="20"/>
                <w:highlight w:val="none"/>
              </w:rPr>
              <w:t xml:space="preserve">竣工资料的份数，规定为：   </w:t>
            </w:r>
            <w:r>
              <w:rPr>
                <w:rFonts w:ascii="Times New Roman" w:hAnsi="Times New Roman" w:eastAsia="Times New Roman" w:cs="Times New Roman"/>
                <w:spacing w:val="-5"/>
                <w:sz w:val="20"/>
                <w:szCs w:val="20"/>
                <w:highlight w:val="none"/>
              </w:rPr>
              <w:t xml:space="preserve">4 </w:t>
            </w:r>
            <w:r>
              <w:rPr>
                <w:rFonts w:ascii="宋体" w:hAnsi="宋体" w:eastAsia="宋体" w:cs="宋体"/>
                <w:spacing w:val="-3"/>
                <w:sz w:val="20"/>
                <w:szCs w:val="20"/>
                <w:highlight w:val="none"/>
              </w:rPr>
              <w:t>份</w:t>
            </w:r>
          </w:p>
        </w:tc>
      </w:tr>
      <w:tr w14:paraId="42B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vAlign w:val="top"/>
          </w:tcPr>
          <w:p w14:paraId="4B9B2498">
            <w:pPr>
              <w:spacing w:line="244" w:lineRule="auto"/>
              <w:rPr>
                <w:rFonts w:ascii="Arial"/>
                <w:sz w:val="21"/>
                <w:highlight w:val="none"/>
              </w:rPr>
            </w:pPr>
          </w:p>
          <w:p w14:paraId="73AC5ADF">
            <w:pPr>
              <w:spacing w:line="244" w:lineRule="auto"/>
              <w:rPr>
                <w:rFonts w:ascii="Arial"/>
                <w:sz w:val="21"/>
                <w:highlight w:val="none"/>
              </w:rPr>
            </w:pPr>
          </w:p>
          <w:p w14:paraId="7DC90A1B">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3</w:t>
            </w:r>
          </w:p>
        </w:tc>
        <w:tc>
          <w:tcPr>
            <w:tcW w:w="1113" w:type="dxa"/>
            <w:vAlign w:val="top"/>
          </w:tcPr>
          <w:p w14:paraId="3D0E305F">
            <w:pPr>
              <w:spacing w:line="244" w:lineRule="auto"/>
              <w:rPr>
                <w:rFonts w:ascii="Arial"/>
                <w:sz w:val="21"/>
                <w:highlight w:val="none"/>
              </w:rPr>
            </w:pPr>
          </w:p>
          <w:p w14:paraId="0411E2EF">
            <w:pPr>
              <w:spacing w:line="245" w:lineRule="auto"/>
              <w:rPr>
                <w:rFonts w:ascii="Arial"/>
                <w:sz w:val="21"/>
                <w:highlight w:val="none"/>
              </w:rPr>
            </w:pPr>
          </w:p>
          <w:p w14:paraId="3DD1B77A">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8.5. 1</w:t>
            </w:r>
          </w:p>
        </w:tc>
        <w:tc>
          <w:tcPr>
            <w:tcW w:w="7644" w:type="dxa"/>
            <w:tcBorders>
              <w:right w:val="single" w:color="000000" w:sz="6" w:space="0"/>
            </w:tcBorders>
            <w:vAlign w:val="top"/>
          </w:tcPr>
          <w:p w14:paraId="4D6DFDAC">
            <w:pPr>
              <w:spacing w:before="158" w:line="228" w:lineRule="auto"/>
              <w:ind w:left="319"/>
              <w:rPr>
                <w:rFonts w:ascii="宋体" w:hAnsi="宋体" w:eastAsia="宋体" w:cs="宋体"/>
                <w:sz w:val="20"/>
                <w:szCs w:val="20"/>
                <w:highlight w:val="none"/>
              </w:rPr>
            </w:pPr>
            <w:r>
              <w:rPr>
                <w:rFonts w:ascii="宋体" w:hAnsi="宋体" w:eastAsia="宋体" w:cs="宋体"/>
                <w:spacing w:val="12"/>
                <w:sz w:val="20"/>
                <w:szCs w:val="20"/>
                <w:highlight w:val="none"/>
              </w:rPr>
              <w:t>单</w:t>
            </w:r>
            <w:r>
              <w:rPr>
                <w:rFonts w:ascii="宋体" w:hAnsi="宋体" w:eastAsia="宋体" w:cs="宋体"/>
                <w:spacing w:val="9"/>
                <w:sz w:val="20"/>
                <w:szCs w:val="20"/>
                <w:highlight w:val="none"/>
              </w:rPr>
              <w:t>位工程或工程设备是否需投入施工期运行，规定为：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3552CA32">
            <w:pPr>
              <w:spacing w:before="153" w:line="304" w:lineRule="auto"/>
              <w:ind w:left="108" w:right="104" w:firstLine="212"/>
              <w:rPr>
                <w:rFonts w:ascii="Times New Roman" w:hAnsi="Times New Roman" w:eastAsia="Times New Roman" w:cs="Times New Roman"/>
                <w:sz w:val="20"/>
                <w:szCs w:val="20"/>
                <w:highlight w:val="none"/>
              </w:rPr>
            </w:pPr>
            <w:r>
              <w:rPr>
                <w:rFonts w:ascii="宋体" w:hAnsi="宋体" w:eastAsia="宋体" w:cs="宋体"/>
                <w:spacing w:val="12"/>
                <w:sz w:val="20"/>
                <w:szCs w:val="20"/>
                <w:highlight w:val="none"/>
              </w:rPr>
              <w:t>如单位工程或工程设备需要进行施工期运行，需要施工期运行的单位工程或</w:t>
            </w:r>
            <w:r>
              <w:rPr>
                <w:rFonts w:ascii="宋体" w:hAnsi="宋体" w:eastAsia="宋体" w:cs="宋体"/>
                <w:spacing w:val="11"/>
                <w:sz w:val="20"/>
                <w:szCs w:val="20"/>
                <w:highlight w:val="none"/>
              </w:rPr>
              <w:t>工</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程设备，具体规定为：</w:t>
            </w:r>
            <w:r>
              <w:rPr>
                <w:rFonts w:ascii="Times New Roman" w:hAnsi="Times New Roman" w:eastAsia="Times New Roman" w:cs="Times New Roman"/>
                <w:sz w:val="20"/>
                <w:szCs w:val="20"/>
                <w:highlight w:val="none"/>
                <w:u w:val="single" w:color="auto"/>
              </w:rPr>
              <w:t xml:space="preserve">   /   </w:t>
            </w:r>
          </w:p>
        </w:tc>
      </w:tr>
      <w:tr w14:paraId="268B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vAlign w:val="top"/>
          </w:tcPr>
          <w:p w14:paraId="21EB3FB2">
            <w:pPr>
              <w:spacing w:line="272" w:lineRule="auto"/>
              <w:rPr>
                <w:rFonts w:ascii="Arial"/>
                <w:sz w:val="21"/>
                <w:highlight w:val="none"/>
              </w:rPr>
            </w:pPr>
          </w:p>
          <w:p w14:paraId="23E2251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4</w:t>
            </w:r>
          </w:p>
        </w:tc>
        <w:tc>
          <w:tcPr>
            <w:tcW w:w="1113" w:type="dxa"/>
            <w:vAlign w:val="top"/>
          </w:tcPr>
          <w:p w14:paraId="26E83118">
            <w:pPr>
              <w:spacing w:line="273" w:lineRule="auto"/>
              <w:rPr>
                <w:rFonts w:ascii="Arial"/>
                <w:sz w:val="21"/>
                <w:highlight w:val="none"/>
              </w:rPr>
            </w:pPr>
          </w:p>
          <w:p w14:paraId="28467DD9">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8.6. 1</w:t>
            </w:r>
          </w:p>
        </w:tc>
        <w:tc>
          <w:tcPr>
            <w:tcW w:w="7644" w:type="dxa"/>
            <w:tcBorders>
              <w:right w:val="single" w:color="000000" w:sz="6" w:space="0"/>
            </w:tcBorders>
            <w:vAlign w:val="top"/>
          </w:tcPr>
          <w:p w14:paraId="7579D1B8">
            <w:pPr>
              <w:spacing w:before="140" w:line="224"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本工程及工程设备是否进行试运行，规定为：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71BA3DF0">
            <w:pPr>
              <w:spacing w:before="120" w:line="278" w:lineRule="exact"/>
              <w:ind w:left="321"/>
              <w:rPr>
                <w:rFonts w:ascii="Times New Roman" w:hAnsi="Times New Roman" w:eastAsia="Times New Roman" w:cs="Times New Roman"/>
                <w:sz w:val="20"/>
                <w:szCs w:val="20"/>
                <w:highlight w:val="none"/>
              </w:rPr>
            </w:pPr>
            <w:r>
              <w:rPr>
                <w:rFonts w:ascii="宋体" w:hAnsi="宋体" w:eastAsia="宋体" w:cs="宋体"/>
                <w:spacing w:val="-1"/>
                <w:position w:val="1"/>
                <w:sz w:val="20"/>
                <w:szCs w:val="20"/>
                <w:highlight w:val="none"/>
              </w:rPr>
              <w:t>如本工程及工程设备需要进行试运行，试运行的</w:t>
            </w:r>
            <w:r>
              <w:rPr>
                <w:rFonts w:ascii="宋体" w:hAnsi="宋体" w:eastAsia="宋体" w:cs="宋体"/>
                <w:position w:val="1"/>
                <w:sz w:val="20"/>
                <w:szCs w:val="20"/>
                <w:highlight w:val="none"/>
              </w:rPr>
              <w:t xml:space="preserve">具体规定为：   </w:t>
            </w:r>
            <w:r>
              <w:rPr>
                <w:rFonts w:ascii="Times New Roman" w:hAnsi="Times New Roman" w:eastAsia="Times New Roman" w:cs="Times New Roman"/>
                <w:position w:val="1"/>
                <w:sz w:val="20"/>
                <w:szCs w:val="20"/>
                <w:highlight w:val="none"/>
              </w:rPr>
              <w:t>/</w:t>
            </w:r>
          </w:p>
        </w:tc>
      </w:tr>
      <w:tr w14:paraId="36E7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78A64865">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5</w:t>
            </w:r>
          </w:p>
        </w:tc>
        <w:tc>
          <w:tcPr>
            <w:tcW w:w="1113" w:type="dxa"/>
            <w:vAlign w:val="top"/>
          </w:tcPr>
          <w:p w14:paraId="0F9C3A9A">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19.7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47D08E36">
            <w:pPr>
              <w:spacing w:before="160" w:line="221" w:lineRule="auto"/>
              <w:ind w:left="318"/>
              <w:rPr>
                <w:rFonts w:ascii="宋体" w:hAnsi="宋体" w:eastAsia="宋体" w:cs="宋体"/>
                <w:sz w:val="20"/>
                <w:szCs w:val="20"/>
                <w:highlight w:val="none"/>
              </w:rPr>
            </w:pPr>
            <w:r>
              <w:rPr>
                <w:rFonts w:ascii="宋体" w:hAnsi="宋体" w:eastAsia="宋体" w:cs="宋体"/>
                <w:spacing w:val="8"/>
                <w:sz w:val="20"/>
                <w:szCs w:val="20"/>
                <w:highlight w:val="none"/>
              </w:rPr>
              <w:t>保</w:t>
            </w:r>
            <w:r>
              <w:rPr>
                <w:rFonts w:ascii="宋体" w:hAnsi="宋体" w:eastAsia="宋体" w:cs="宋体"/>
                <w:spacing w:val="4"/>
                <w:sz w:val="20"/>
                <w:szCs w:val="20"/>
                <w:highlight w:val="none"/>
              </w:rPr>
              <w:t xml:space="preserve">修期：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6F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vAlign w:val="top"/>
          </w:tcPr>
          <w:p w14:paraId="07086655">
            <w:pPr>
              <w:spacing w:line="247" w:lineRule="auto"/>
              <w:rPr>
                <w:rFonts w:ascii="Arial"/>
                <w:sz w:val="21"/>
                <w:highlight w:val="none"/>
              </w:rPr>
            </w:pPr>
          </w:p>
          <w:p w14:paraId="29E26310">
            <w:pPr>
              <w:spacing w:line="247" w:lineRule="auto"/>
              <w:rPr>
                <w:rFonts w:ascii="Arial"/>
                <w:sz w:val="21"/>
                <w:highlight w:val="none"/>
              </w:rPr>
            </w:pPr>
          </w:p>
          <w:p w14:paraId="0C5D19CD">
            <w:pPr>
              <w:spacing w:line="248" w:lineRule="auto"/>
              <w:rPr>
                <w:rFonts w:ascii="Arial"/>
                <w:sz w:val="21"/>
                <w:highlight w:val="none"/>
              </w:rPr>
            </w:pPr>
          </w:p>
          <w:p w14:paraId="207EF969">
            <w:pPr>
              <w:spacing w:line="248" w:lineRule="auto"/>
              <w:rPr>
                <w:rFonts w:ascii="Arial"/>
                <w:sz w:val="21"/>
                <w:highlight w:val="none"/>
              </w:rPr>
            </w:pPr>
          </w:p>
          <w:p w14:paraId="35AD4895">
            <w:pPr>
              <w:spacing w:line="248" w:lineRule="auto"/>
              <w:rPr>
                <w:rFonts w:ascii="Arial"/>
                <w:sz w:val="21"/>
                <w:highlight w:val="none"/>
              </w:rPr>
            </w:pPr>
          </w:p>
          <w:p w14:paraId="260F77E5">
            <w:pPr>
              <w:spacing w:line="248" w:lineRule="auto"/>
              <w:rPr>
                <w:rFonts w:ascii="Arial"/>
                <w:sz w:val="21"/>
                <w:highlight w:val="none"/>
              </w:rPr>
            </w:pPr>
          </w:p>
          <w:p w14:paraId="20EC1135">
            <w:pPr>
              <w:spacing w:line="248" w:lineRule="auto"/>
              <w:rPr>
                <w:rFonts w:ascii="Arial"/>
                <w:sz w:val="21"/>
                <w:highlight w:val="none"/>
              </w:rPr>
            </w:pPr>
          </w:p>
          <w:p w14:paraId="64E945F4">
            <w:pPr>
              <w:spacing w:line="248" w:lineRule="auto"/>
              <w:rPr>
                <w:rFonts w:ascii="Arial"/>
                <w:sz w:val="21"/>
                <w:highlight w:val="none"/>
              </w:rPr>
            </w:pPr>
          </w:p>
          <w:p w14:paraId="62AC8FE9">
            <w:pPr>
              <w:spacing w:line="248" w:lineRule="auto"/>
              <w:rPr>
                <w:rFonts w:ascii="Arial"/>
                <w:sz w:val="21"/>
                <w:highlight w:val="none"/>
              </w:rPr>
            </w:pPr>
          </w:p>
          <w:p w14:paraId="2C1C79E1">
            <w:pPr>
              <w:spacing w:line="248" w:lineRule="auto"/>
              <w:rPr>
                <w:rFonts w:ascii="Arial"/>
                <w:sz w:val="21"/>
                <w:highlight w:val="none"/>
              </w:rPr>
            </w:pPr>
          </w:p>
          <w:p w14:paraId="09CE842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6</w:t>
            </w:r>
          </w:p>
        </w:tc>
        <w:tc>
          <w:tcPr>
            <w:tcW w:w="1113" w:type="dxa"/>
            <w:vAlign w:val="top"/>
          </w:tcPr>
          <w:p w14:paraId="3C832D16">
            <w:pPr>
              <w:spacing w:line="247" w:lineRule="auto"/>
              <w:rPr>
                <w:rFonts w:ascii="Arial"/>
                <w:sz w:val="21"/>
                <w:highlight w:val="none"/>
              </w:rPr>
            </w:pPr>
          </w:p>
          <w:p w14:paraId="3FE4C3B9">
            <w:pPr>
              <w:spacing w:line="248" w:lineRule="auto"/>
              <w:rPr>
                <w:rFonts w:ascii="Arial"/>
                <w:sz w:val="21"/>
                <w:highlight w:val="none"/>
              </w:rPr>
            </w:pPr>
          </w:p>
          <w:p w14:paraId="26B8FA84">
            <w:pPr>
              <w:spacing w:line="248" w:lineRule="auto"/>
              <w:rPr>
                <w:rFonts w:ascii="Arial"/>
                <w:sz w:val="21"/>
                <w:highlight w:val="none"/>
              </w:rPr>
            </w:pPr>
          </w:p>
          <w:p w14:paraId="4ED84ABD">
            <w:pPr>
              <w:spacing w:line="248" w:lineRule="auto"/>
              <w:rPr>
                <w:rFonts w:ascii="Arial"/>
                <w:sz w:val="21"/>
                <w:highlight w:val="none"/>
              </w:rPr>
            </w:pPr>
          </w:p>
          <w:p w14:paraId="3A74F794">
            <w:pPr>
              <w:spacing w:line="248" w:lineRule="auto"/>
              <w:rPr>
                <w:rFonts w:ascii="Arial"/>
                <w:sz w:val="21"/>
                <w:highlight w:val="none"/>
              </w:rPr>
            </w:pPr>
          </w:p>
          <w:p w14:paraId="29F154BC">
            <w:pPr>
              <w:spacing w:line="248" w:lineRule="auto"/>
              <w:rPr>
                <w:rFonts w:ascii="Arial"/>
                <w:sz w:val="21"/>
                <w:highlight w:val="none"/>
              </w:rPr>
            </w:pPr>
          </w:p>
          <w:p w14:paraId="13262ECC">
            <w:pPr>
              <w:spacing w:line="248" w:lineRule="auto"/>
              <w:rPr>
                <w:rFonts w:ascii="Arial"/>
                <w:sz w:val="21"/>
                <w:highlight w:val="none"/>
              </w:rPr>
            </w:pPr>
          </w:p>
          <w:p w14:paraId="3EE5EB89">
            <w:pPr>
              <w:spacing w:line="248" w:lineRule="auto"/>
              <w:rPr>
                <w:rFonts w:ascii="Arial"/>
                <w:sz w:val="21"/>
                <w:highlight w:val="none"/>
              </w:rPr>
            </w:pPr>
          </w:p>
          <w:p w14:paraId="4EA71A33">
            <w:pPr>
              <w:spacing w:line="248" w:lineRule="auto"/>
              <w:rPr>
                <w:rFonts w:ascii="Arial"/>
                <w:sz w:val="21"/>
                <w:highlight w:val="none"/>
              </w:rPr>
            </w:pPr>
          </w:p>
          <w:p w14:paraId="772757EF">
            <w:pPr>
              <w:spacing w:line="248" w:lineRule="auto"/>
              <w:rPr>
                <w:rFonts w:ascii="Arial"/>
                <w:sz w:val="21"/>
                <w:highlight w:val="none"/>
              </w:rPr>
            </w:pPr>
          </w:p>
          <w:p w14:paraId="496B8035">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0</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71EE43BD">
            <w:pPr>
              <w:spacing w:before="158" w:line="370" w:lineRule="auto"/>
              <w:ind w:left="109" w:right="104" w:firstLine="211"/>
              <w:rPr>
                <w:rFonts w:ascii="宋体" w:hAnsi="宋体" w:eastAsia="宋体" w:cs="宋体"/>
                <w:sz w:val="20"/>
                <w:szCs w:val="20"/>
                <w:highlight w:val="none"/>
              </w:rPr>
            </w:pPr>
            <w:r>
              <w:rPr>
                <w:rFonts w:ascii="宋体" w:hAnsi="宋体" w:eastAsia="宋体" w:cs="宋体"/>
                <w:spacing w:val="12"/>
                <w:sz w:val="20"/>
                <w:szCs w:val="20"/>
                <w:highlight w:val="none"/>
              </w:rPr>
              <w:t>建筑工程一切险的投保内容：为本合同工程的永久工程、临时工程和设备及已</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运</w:t>
            </w:r>
            <w:r>
              <w:rPr>
                <w:rFonts w:ascii="宋体" w:hAnsi="宋体" w:eastAsia="宋体" w:cs="宋体"/>
                <w:spacing w:val="9"/>
                <w:sz w:val="20"/>
                <w:szCs w:val="20"/>
                <w:highlight w:val="none"/>
              </w:rPr>
              <w:t>至施工工地用于永久工程的材料和设备所投的保险。</w:t>
            </w:r>
          </w:p>
          <w:p w14:paraId="388F1B5A">
            <w:pPr>
              <w:spacing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保险金额：工程量清单全部章节的合计金额</w:t>
            </w:r>
            <w:r>
              <w:rPr>
                <w:rFonts w:ascii="宋体" w:hAnsi="宋体" w:eastAsia="宋体" w:cs="宋体"/>
                <w:spacing w:val="8"/>
                <w:sz w:val="20"/>
                <w:szCs w:val="20"/>
                <w:highlight w:val="none"/>
              </w:rPr>
              <w:t>。</w:t>
            </w:r>
          </w:p>
          <w:p w14:paraId="17986004">
            <w:pPr>
              <w:spacing w:before="115" w:line="294" w:lineRule="auto"/>
              <w:ind w:left="318"/>
              <w:rPr>
                <w:rFonts w:ascii="宋体" w:hAnsi="宋体" w:eastAsia="宋体" w:cs="宋体"/>
                <w:sz w:val="20"/>
                <w:szCs w:val="20"/>
                <w:highlight w:val="none"/>
              </w:rPr>
            </w:pPr>
            <w:r>
              <w:rPr>
                <w:rFonts w:ascii="宋体" w:hAnsi="宋体" w:eastAsia="宋体" w:cs="宋体"/>
                <w:spacing w:val="7"/>
                <w:sz w:val="20"/>
                <w:szCs w:val="20"/>
                <w:highlight w:val="none"/>
              </w:rPr>
              <w:t>保</w:t>
            </w:r>
            <w:r>
              <w:rPr>
                <w:rFonts w:ascii="宋体" w:hAnsi="宋体" w:eastAsia="宋体" w:cs="宋体"/>
                <w:spacing w:val="5"/>
                <w:sz w:val="20"/>
                <w:szCs w:val="20"/>
                <w:highlight w:val="none"/>
              </w:rPr>
              <w:t>险费率：</w:t>
            </w:r>
            <w:r>
              <w:rPr>
                <w:rFonts w:ascii="Times New Roman" w:hAnsi="Times New Roman" w:eastAsia="Times New Roman" w:cs="Times New Roman"/>
                <w:spacing w:val="5"/>
                <w:sz w:val="20"/>
                <w:szCs w:val="20"/>
                <w:highlight w:val="none"/>
                <w:u w:val="single" w:color="auto"/>
              </w:rPr>
              <w:t xml:space="preserve">  0.3%  </w:t>
            </w:r>
            <w:r>
              <w:rPr>
                <w:rFonts w:ascii="宋体" w:hAnsi="宋体" w:eastAsia="宋体" w:cs="宋体"/>
                <w:spacing w:val="5"/>
                <w:sz w:val="20"/>
                <w:szCs w:val="20"/>
                <w:highlight w:val="none"/>
              </w:rPr>
              <w:t>。</w:t>
            </w:r>
          </w:p>
          <w:p w14:paraId="1951D095">
            <w:pPr>
              <w:spacing w:before="119" w:line="369" w:lineRule="auto"/>
              <w:ind w:left="127" w:right="104" w:firstLine="191"/>
              <w:rPr>
                <w:rFonts w:ascii="宋体" w:hAnsi="宋体" w:eastAsia="宋体" w:cs="宋体"/>
                <w:sz w:val="20"/>
                <w:szCs w:val="20"/>
                <w:highlight w:val="none"/>
              </w:rPr>
            </w:pPr>
            <w:r>
              <w:rPr>
                <w:rFonts w:ascii="宋体" w:hAnsi="宋体" w:eastAsia="宋体" w:cs="宋体"/>
                <w:spacing w:val="22"/>
                <w:sz w:val="20"/>
                <w:szCs w:val="20"/>
                <w:highlight w:val="none"/>
              </w:rPr>
              <w:t>保险</w:t>
            </w:r>
            <w:r>
              <w:rPr>
                <w:rFonts w:ascii="宋体" w:hAnsi="宋体" w:eastAsia="宋体" w:cs="宋体"/>
                <w:spacing w:val="14"/>
                <w:sz w:val="20"/>
                <w:szCs w:val="20"/>
                <w:highlight w:val="none"/>
              </w:rPr>
              <w:t>期</w:t>
            </w:r>
            <w:r>
              <w:rPr>
                <w:rFonts w:ascii="宋体" w:hAnsi="宋体" w:eastAsia="宋体" w:cs="宋体"/>
                <w:spacing w:val="11"/>
                <w:sz w:val="20"/>
                <w:szCs w:val="20"/>
                <w:highlight w:val="none"/>
              </w:rPr>
              <w:t>限：开工日起直至本合同工程签发缺陷责任期终止证书止 (即合同工期</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 xml:space="preserve">＋缺陷责任期) </w:t>
            </w:r>
            <w:r>
              <w:rPr>
                <w:rFonts w:ascii="宋体" w:hAnsi="宋体" w:eastAsia="宋体" w:cs="宋体"/>
                <w:spacing w:val="3"/>
                <w:sz w:val="20"/>
                <w:szCs w:val="20"/>
                <w:highlight w:val="none"/>
              </w:rPr>
              <w:t>。</w:t>
            </w:r>
          </w:p>
          <w:p w14:paraId="415604DD">
            <w:pPr>
              <w:spacing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包人应以发包人和承包人的共同名义投保建筑工程一切险。承包人因办理建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筑工程一切险所发生的费用应认为已含入其他支付项中，发包人不另行计量，出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资</w:t>
            </w:r>
            <w:r>
              <w:rPr>
                <w:rFonts w:ascii="宋体" w:hAnsi="宋体" w:eastAsia="宋体" w:cs="宋体"/>
                <w:spacing w:val="7"/>
                <w:sz w:val="20"/>
                <w:szCs w:val="20"/>
                <w:highlight w:val="none"/>
              </w:rPr>
              <w:t>人不另行支付。</w:t>
            </w:r>
          </w:p>
          <w:p w14:paraId="1D95E795">
            <w:pPr>
              <w:spacing w:before="1" w:line="369" w:lineRule="auto"/>
              <w:ind w:left="110" w:right="102" w:firstLine="221"/>
              <w:rPr>
                <w:rFonts w:ascii="宋体" w:hAnsi="宋体" w:eastAsia="宋体" w:cs="宋体"/>
                <w:sz w:val="20"/>
                <w:szCs w:val="20"/>
                <w:highlight w:val="none"/>
              </w:rPr>
            </w:pPr>
            <w:r>
              <w:rPr>
                <w:rFonts w:ascii="宋体" w:hAnsi="宋体" w:eastAsia="宋体" w:cs="宋体"/>
                <w:spacing w:val="22"/>
                <w:sz w:val="20"/>
                <w:szCs w:val="20"/>
                <w:highlight w:val="none"/>
              </w:rPr>
              <w:t>当本</w:t>
            </w:r>
            <w:r>
              <w:rPr>
                <w:rFonts w:ascii="宋体" w:hAnsi="宋体" w:eastAsia="宋体" w:cs="宋体"/>
                <w:spacing w:val="12"/>
                <w:sz w:val="20"/>
                <w:szCs w:val="20"/>
                <w:highlight w:val="none"/>
              </w:rPr>
              <w:t>合</w:t>
            </w:r>
            <w:r>
              <w:rPr>
                <w:rFonts w:ascii="宋体" w:hAnsi="宋体" w:eastAsia="宋体" w:cs="宋体"/>
                <w:spacing w:val="11"/>
                <w:sz w:val="20"/>
                <w:szCs w:val="20"/>
                <w:highlight w:val="none"/>
              </w:rPr>
              <w:t>同工程发生损失或损害时，承包人应按保险单规定的条件和期限及时向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险人报告，并抄送发包人和监理人。如损害继续发生，承包人在递交第一次报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 xml:space="preserve">告后，每 </w:t>
            </w:r>
            <w:r>
              <w:rPr>
                <w:rFonts w:ascii="Times New Roman" w:hAnsi="Times New Roman" w:eastAsia="Times New Roman" w:cs="Times New Roman"/>
                <w:spacing w:val="10"/>
                <w:sz w:val="20"/>
                <w:szCs w:val="20"/>
                <w:highlight w:val="none"/>
              </w:rPr>
              <w:t xml:space="preserve">7 </w:t>
            </w:r>
            <w:r>
              <w:rPr>
                <w:rFonts w:ascii="宋体" w:hAnsi="宋体" w:eastAsia="宋体" w:cs="宋体"/>
                <w:spacing w:val="10"/>
                <w:sz w:val="20"/>
                <w:szCs w:val="20"/>
                <w:highlight w:val="none"/>
              </w:rPr>
              <w:t>天报告一次，直到损害结束。办理本款所述的保险并不免除合同规</w:t>
            </w:r>
            <w:r>
              <w:rPr>
                <w:rFonts w:ascii="宋体" w:hAnsi="宋体" w:eastAsia="宋体" w:cs="宋体"/>
                <w:spacing w:val="8"/>
                <w:sz w:val="20"/>
                <w:szCs w:val="20"/>
                <w:highlight w:val="none"/>
              </w:rPr>
              <w:t>定</w:t>
            </w:r>
          </w:p>
          <w:p w14:paraId="28CCBFA5">
            <w:pPr>
              <w:spacing w:before="1" w:line="224" w:lineRule="auto"/>
              <w:ind w:left="126"/>
              <w:rPr>
                <w:rFonts w:ascii="宋体" w:hAnsi="宋体" w:eastAsia="宋体" w:cs="宋体"/>
                <w:sz w:val="20"/>
                <w:szCs w:val="20"/>
                <w:highlight w:val="none"/>
              </w:rPr>
            </w:pPr>
            <w:r>
              <w:rPr>
                <w:rFonts w:ascii="宋体" w:hAnsi="宋体" w:eastAsia="宋体" w:cs="宋体"/>
                <w:spacing w:val="12"/>
                <w:sz w:val="20"/>
                <w:szCs w:val="20"/>
                <w:highlight w:val="none"/>
              </w:rPr>
              <w:t>的</w:t>
            </w:r>
            <w:r>
              <w:rPr>
                <w:rFonts w:ascii="宋体" w:hAnsi="宋体" w:eastAsia="宋体" w:cs="宋体"/>
                <w:spacing w:val="6"/>
                <w:sz w:val="20"/>
                <w:szCs w:val="20"/>
                <w:highlight w:val="none"/>
              </w:rPr>
              <w:t>承包人的义务和责任。</w:t>
            </w:r>
          </w:p>
        </w:tc>
      </w:tr>
      <w:tr w14:paraId="6095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vAlign w:val="top"/>
          </w:tcPr>
          <w:p w14:paraId="7AB5C15E">
            <w:pPr>
              <w:spacing w:line="274" w:lineRule="auto"/>
              <w:rPr>
                <w:rFonts w:ascii="Arial"/>
                <w:sz w:val="21"/>
                <w:highlight w:val="none"/>
              </w:rPr>
            </w:pPr>
          </w:p>
          <w:p w14:paraId="0012E4EF">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7</w:t>
            </w:r>
          </w:p>
        </w:tc>
        <w:tc>
          <w:tcPr>
            <w:tcW w:w="1113" w:type="dxa"/>
            <w:vAlign w:val="top"/>
          </w:tcPr>
          <w:p w14:paraId="0F32500E">
            <w:pPr>
              <w:spacing w:line="275" w:lineRule="auto"/>
              <w:rPr>
                <w:rFonts w:ascii="Arial"/>
                <w:sz w:val="21"/>
                <w:highlight w:val="none"/>
              </w:rPr>
            </w:pPr>
          </w:p>
          <w:p w14:paraId="1FB4EB2F">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20.</w:t>
            </w:r>
            <w:r>
              <w:rPr>
                <w:rFonts w:ascii="Times New Roman" w:hAnsi="Times New Roman" w:eastAsia="Times New Roman" w:cs="Times New Roman"/>
                <w:spacing w:val="2"/>
                <w:sz w:val="20"/>
                <w:szCs w:val="20"/>
                <w:highlight w:val="none"/>
              </w:rPr>
              <w:t>4</w:t>
            </w:r>
          </w:p>
        </w:tc>
        <w:tc>
          <w:tcPr>
            <w:tcW w:w="7644" w:type="dxa"/>
            <w:tcBorders>
              <w:right w:val="single" w:color="000000" w:sz="6" w:space="0"/>
            </w:tcBorders>
            <w:vAlign w:val="top"/>
          </w:tcPr>
          <w:p w14:paraId="35FCC7A3">
            <w:pPr>
              <w:spacing w:before="142" w:line="401" w:lineRule="exact"/>
              <w:ind w:left="340"/>
              <w:rPr>
                <w:rFonts w:ascii="宋体" w:hAnsi="宋体" w:eastAsia="宋体" w:cs="宋体"/>
                <w:sz w:val="20"/>
                <w:szCs w:val="20"/>
                <w:highlight w:val="none"/>
              </w:rPr>
            </w:pPr>
            <w:r>
              <w:rPr>
                <w:rFonts w:ascii="Times New Roman" w:hAnsi="Times New Roman" w:eastAsia="Times New Roman" w:cs="Times New Roman"/>
                <w:spacing w:val="8"/>
                <w:position w:val="15"/>
                <w:sz w:val="20"/>
                <w:szCs w:val="20"/>
                <w:highlight w:val="none"/>
              </w:rPr>
              <w:t>20.4. 1</w:t>
            </w:r>
            <w:r>
              <w:rPr>
                <w:rFonts w:ascii="Times New Roman" w:hAnsi="Times New Roman" w:eastAsia="Times New Roman" w:cs="Times New Roman"/>
                <w:spacing w:val="4"/>
                <w:position w:val="15"/>
                <w:sz w:val="20"/>
                <w:szCs w:val="20"/>
                <w:highlight w:val="none"/>
              </w:rPr>
              <w:t xml:space="preserve"> </w:t>
            </w:r>
            <w:r>
              <w:rPr>
                <w:rFonts w:ascii="宋体" w:hAnsi="宋体" w:eastAsia="宋体" w:cs="宋体"/>
                <w:spacing w:val="4"/>
                <w:position w:val="15"/>
                <w:sz w:val="20"/>
                <w:szCs w:val="20"/>
                <w:highlight w:val="none"/>
              </w:rPr>
              <w:t>第三者责任系指在保险期内，对因工程意外事故造成的、依法应由被保险</w:t>
            </w:r>
          </w:p>
          <w:p w14:paraId="2483D764">
            <w:pPr>
              <w:spacing w:line="224" w:lineRule="auto"/>
              <w:ind w:left="111"/>
              <w:rPr>
                <w:rFonts w:ascii="宋体" w:hAnsi="宋体" w:eastAsia="宋体" w:cs="宋体"/>
                <w:sz w:val="20"/>
                <w:szCs w:val="20"/>
                <w:highlight w:val="none"/>
              </w:rPr>
            </w:pPr>
            <w:r>
              <w:rPr>
                <w:rFonts w:ascii="宋体" w:hAnsi="宋体" w:eastAsia="宋体" w:cs="宋体"/>
                <w:spacing w:val="16"/>
                <w:sz w:val="20"/>
                <w:szCs w:val="20"/>
                <w:highlight w:val="none"/>
              </w:rPr>
              <w:t>人</w:t>
            </w:r>
            <w:r>
              <w:rPr>
                <w:rFonts w:ascii="宋体" w:hAnsi="宋体" w:eastAsia="宋体" w:cs="宋体"/>
                <w:spacing w:val="14"/>
                <w:sz w:val="20"/>
                <w:szCs w:val="20"/>
                <w:highlight w:val="none"/>
              </w:rPr>
              <w:t>负</w:t>
            </w:r>
            <w:r>
              <w:rPr>
                <w:rFonts w:ascii="宋体" w:hAnsi="宋体" w:eastAsia="宋体" w:cs="宋体"/>
                <w:spacing w:val="8"/>
                <w:sz w:val="20"/>
                <w:szCs w:val="20"/>
                <w:highlight w:val="none"/>
              </w:rPr>
              <w:t>责的工地上及毗邻地区的第三者人身伤亡、疾病或财产损失 (本工程除外) ，</w:t>
            </w:r>
          </w:p>
        </w:tc>
      </w:tr>
    </w:tbl>
    <w:p w14:paraId="19897F25">
      <w:pPr>
        <w:rPr>
          <w:rFonts w:ascii="Arial"/>
          <w:sz w:val="21"/>
          <w:highlight w:val="none"/>
        </w:rPr>
      </w:pPr>
    </w:p>
    <w:p w14:paraId="2B0337F5">
      <w:pPr>
        <w:rPr>
          <w:highlight w:val="none"/>
        </w:rPr>
      </w:pPr>
    </w:p>
    <w:p w14:paraId="7B745189">
      <w:pPr>
        <w:bidi w:val="0"/>
        <w:rPr>
          <w:rFonts w:ascii="Times New Roman" w:hAnsi="Times New Roman" w:eastAsia="宋体" w:cs="Times New Roman"/>
          <w:kern w:val="2"/>
          <w:sz w:val="21"/>
          <w:szCs w:val="24"/>
          <w:highlight w:val="none"/>
          <w:lang w:val="en-US" w:eastAsia="zh-CN" w:bidi="ar-SA"/>
        </w:rPr>
      </w:pPr>
    </w:p>
    <w:p w14:paraId="5AE64CCC">
      <w:pPr>
        <w:bidi w:val="0"/>
        <w:rPr>
          <w:highlight w:val="none"/>
          <w:lang w:val="en-US" w:eastAsia="zh-CN"/>
        </w:rPr>
      </w:pPr>
    </w:p>
    <w:p w14:paraId="3DB98E2E">
      <w:pPr>
        <w:bidi w:val="0"/>
        <w:rPr>
          <w:highlight w:val="none"/>
          <w:lang w:val="en-US" w:eastAsia="zh-CN"/>
        </w:rPr>
      </w:pPr>
    </w:p>
    <w:p w14:paraId="558B3C09">
      <w:pPr>
        <w:bidi w:val="0"/>
        <w:rPr>
          <w:highlight w:val="none"/>
          <w:lang w:val="en-US" w:eastAsia="zh-CN"/>
        </w:rPr>
      </w:pPr>
    </w:p>
    <w:p w14:paraId="33F6E015">
      <w:pPr>
        <w:bidi w:val="0"/>
        <w:rPr>
          <w:highlight w:val="none"/>
          <w:lang w:val="en-US" w:eastAsia="zh-CN"/>
        </w:rPr>
      </w:pPr>
    </w:p>
    <w:p w14:paraId="76404C66">
      <w:pPr>
        <w:bidi w:val="0"/>
        <w:rPr>
          <w:highlight w:val="none"/>
          <w:lang w:val="en-US" w:eastAsia="zh-CN"/>
        </w:rPr>
      </w:pPr>
    </w:p>
    <w:p w14:paraId="39066B96">
      <w:pPr>
        <w:bidi w:val="0"/>
        <w:rPr>
          <w:highlight w:val="none"/>
          <w:lang w:val="en-US" w:eastAsia="zh-CN"/>
        </w:rPr>
      </w:pPr>
    </w:p>
    <w:p w14:paraId="7F3AEFA3">
      <w:pPr>
        <w:bidi w:val="0"/>
        <w:rPr>
          <w:highlight w:val="none"/>
          <w:lang w:val="en-US" w:eastAsia="zh-CN"/>
        </w:rPr>
      </w:pPr>
    </w:p>
    <w:p w14:paraId="0DBEC432">
      <w:pPr>
        <w:bidi w:val="0"/>
        <w:rPr>
          <w:highlight w:val="none"/>
          <w:lang w:val="en-US" w:eastAsia="zh-CN"/>
        </w:rPr>
      </w:pPr>
    </w:p>
    <w:p w14:paraId="5BCB9503">
      <w:pPr>
        <w:bidi w:val="0"/>
        <w:rPr>
          <w:highlight w:val="none"/>
          <w:lang w:val="en-US" w:eastAsia="zh-CN"/>
        </w:rPr>
      </w:pPr>
    </w:p>
    <w:p w14:paraId="3B6ABD66">
      <w:pPr>
        <w:bidi w:val="0"/>
        <w:rPr>
          <w:highlight w:val="none"/>
          <w:lang w:val="en-US" w:eastAsia="zh-CN"/>
        </w:rPr>
      </w:pPr>
    </w:p>
    <w:p w14:paraId="74E53B80">
      <w:pPr>
        <w:tabs>
          <w:tab w:val="center" w:pos="4653"/>
        </w:tabs>
        <w:bidi w:val="0"/>
        <w:jc w:val="left"/>
        <w:rPr>
          <w:highlight w:val="none"/>
          <w:lang w:val="en-US" w:eastAsia="zh-CN"/>
        </w:rPr>
        <w:sectPr>
          <w:headerReference r:id="rId32" w:type="default"/>
          <w:footerReference r:id="rId33" w:type="default"/>
          <w:pgSz w:w="11907" w:h="16840"/>
          <w:pgMar w:top="1200" w:right="1301" w:bottom="1333" w:left="1299" w:header="892" w:footer="1173" w:gutter="0"/>
          <w:cols w:space="720" w:num="1"/>
        </w:sectPr>
      </w:pPr>
    </w:p>
    <w:p w14:paraId="2B706551">
      <w:pPr>
        <w:rPr>
          <w:highlight w:val="none"/>
        </w:rPr>
      </w:pPr>
    </w:p>
    <w:p w14:paraId="4AA83B94">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6D5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08BDE587">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3D571D5">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A604DA0">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3E6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9" w:hRule="atLeast"/>
        </w:trPr>
        <w:tc>
          <w:tcPr>
            <w:tcW w:w="534" w:type="dxa"/>
            <w:tcBorders>
              <w:left w:val="single" w:color="000000" w:sz="6" w:space="0"/>
            </w:tcBorders>
            <w:vAlign w:val="top"/>
          </w:tcPr>
          <w:p w14:paraId="4B319A94">
            <w:pPr>
              <w:rPr>
                <w:rFonts w:ascii="Arial"/>
                <w:sz w:val="21"/>
                <w:highlight w:val="none"/>
              </w:rPr>
            </w:pPr>
          </w:p>
        </w:tc>
        <w:tc>
          <w:tcPr>
            <w:tcW w:w="1113" w:type="dxa"/>
            <w:vAlign w:val="top"/>
          </w:tcPr>
          <w:p w14:paraId="02CB9421">
            <w:pPr>
              <w:rPr>
                <w:rFonts w:ascii="Arial"/>
                <w:sz w:val="21"/>
                <w:highlight w:val="none"/>
              </w:rPr>
            </w:pPr>
          </w:p>
        </w:tc>
        <w:tc>
          <w:tcPr>
            <w:tcW w:w="7644" w:type="dxa"/>
            <w:tcBorders>
              <w:right w:val="single" w:color="000000" w:sz="6" w:space="0"/>
            </w:tcBorders>
            <w:vAlign w:val="top"/>
          </w:tcPr>
          <w:p w14:paraId="3C7A181D">
            <w:pPr>
              <w:spacing w:before="138" w:line="369" w:lineRule="auto"/>
              <w:ind w:left="109" w:right="102" w:firstLine="23"/>
              <w:rPr>
                <w:rFonts w:ascii="宋体" w:hAnsi="宋体" w:eastAsia="宋体" w:cs="宋体"/>
                <w:sz w:val="20"/>
                <w:szCs w:val="20"/>
                <w:highlight w:val="none"/>
              </w:rPr>
            </w:pPr>
            <w:r>
              <w:rPr>
                <w:rFonts w:ascii="宋体" w:hAnsi="宋体" w:eastAsia="宋体" w:cs="宋体"/>
                <w:spacing w:val="22"/>
                <w:sz w:val="20"/>
                <w:szCs w:val="20"/>
                <w:highlight w:val="none"/>
              </w:rPr>
              <w:t>以</w:t>
            </w:r>
            <w:r>
              <w:rPr>
                <w:rFonts w:ascii="宋体" w:hAnsi="宋体" w:eastAsia="宋体" w:cs="宋体"/>
                <w:spacing w:val="13"/>
                <w:sz w:val="20"/>
                <w:szCs w:val="20"/>
                <w:highlight w:val="none"/>
              </w:rPr>
              <w:t>及</w:t>
            </w:r>
            <w:r>
              <w:rPr>
                <w:rFonts w:ascii="宋体" w:hAnsi="宋体" w:eastAsia="宋体" w:cs="宋体"/>
                <w:spacing w:val="11"/>
                <w:sz w:val="20"/>
                <w:szCs w:val="20"/>
                <w:highlight w:val="none"/>
              </w:rPr>
              <w:t>被保险人因此而支付的诉讼费用和事先经保险人书面同意支付的其他费用等</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赔偿责任</w:t>
            </w:r>
            <w:r>
              <w:rPr>
                <w:rFonts w:ascii="宋体" w:hAnsi="宋体" w:eastAsia="宋体" w:cs="宋体"/>
                <w:spacing w:val="5"/>
                <w:sz w:val="20"/>
                <w:szCs w:val="20"/>
                <w:highlight w:val="none"/>
              </w:rPr>
              <w:t>。</w:t>
            </w:r>
          </w:p>
          <w:p w14:paraId="5600BDEC">
            <w:pPr>
              <w:spacing w:before="1" w:line="368" w:lineRule="auto"/>
              <w:ind w:left="111" w:right="50" w:firstLine="228"/>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2</w:t>
            </w:r>
            <w:r>
              <w:rPr>
                <w:rFonts w:ascii="Times New Roman" w:hAnsi="Times New Roman" w:eastAsia="Times New Roman" w:cs="Times New Roman"/>
                <w:spacing w:val="6"/>
                <w:sz w:val="20"/>
                <w:szCs w:val="20"/>
                <w:highlight w:val="none"/>
              </w:rPr>
              <w:t xml:space="preserve">0.4.2  </w:t>
            </w:r>
            <w:r>
              <w:rPr>
                <w:rFonts w:ascii="宋体" w:hAnsi="宋体" w:eastAsia="宋体" w:cs="宋体"/>
                <w:spacing w:val="6"/>
                <w:sz w:val="20"/>
                <w:szCs w:val="20"/>
                <w:highlight w:val="none"/>
              </w:rPr>
              <w:t>在缺陷责任期终止证书颁发前，承包人应以承包人和发包人的共同名义，</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投保第 </w:t>
            </w:r>
            <w:r>
              <w:rPr>
                <w:rFonts w:ascii="Times New Roman" w:hAnsi="Times New Roman" w:eastAsia="Times New Roman" w:cs="Times New Roman"/>
                <w:spacing w:val="3"/>
                <w:sz w:val="20"/>
                <w:szCs w:val="20"/>
                <w:highlight w:val="none"/>
              </w:rPr>
              <w:t xml:space="preserve">20.4. 1 </w:t>
            </w:r>
            <w:r>
              <w:rPr>
                <w:rFonts w:ascii="宋体" w:hAnsi="宋体" w:eastAsia="宋体" w:cs="宋体"/>
                <w:spacing w:val="3"/>
                <w:sz w:val="20"/>
                <w:szCs w:val="20"/>
                <w:highlight w:val="none"/>
              </w:rPr>
              <w:t>项约定的第三者责任险，其中：</w:t>
            </w:r>
          </w:p>
          <w:p w14:paraId="6A97C57A">
            <w:pPr>
              <w:spacing w:line="335" w:lineRule="auto"/>
              <w:ind w:left="344"/>
              <w:rPr>
                <w:rFonts w:ascii="宋体" w:hAnsi="宋体" w:eastAsia="宋体" w:cs="宋体"/>
                <w:sz w:val="20"/>
                <w:szCs w:val="20"/>
                <w:highlight w:val="none"/>
              </w:rPr>
            </w:pPr>
            <w:r>
              <w:rPr>
                <w:rFonts w:ascii="宋体" w:hAnsi="宋体" w:eastAsia="宋体" w:cs="宋体"/>
                <w:spacing w:val="5"/>
                <w:sz w:val="20"/>
                <w:szCs w:val="20"/>
                <w:highlight w:val="none"/>
              </w:rPr>
              <w:t>第三者责任险的最低投保金额，规定为：</w:t>
            </w:r>
            <w:r>
              <w:rPr>
                <w:rFonts w:ascii="Times New Roman" w:hAnsi="Times New Roman" w:eastAsia="Times New Roman" w:cs="Times New Roman"/>
                <w:spacing w:val="5"/>
                <w:sz w:val="20"/>
                <w:szCs w:val="20"/>
                <w:highlight w:val="none"/>
                <w:u w:val="single" w:color="auto"/>
              </w:rPr>
              <w:t xml:space="preserve">  100 </w:t>
            </w:r>
            <w:r>
              <w:rPr>
                <w:rFonts w:ascii="宋体" w:hAnsi="宋体" w:eastAsia="宋体" w:cs="宋体"/>
                <w:spacing w:val="5"/>
                <w:sz w:val="20"/>
                <w:szCs w:val="20"/>
                <w:highlight w:val="none"/>
                <w:u w:val="single" w:color="auto"/>
              </w:rPr>
              <w:t xml:space="preserve">万元 </w:t>
            </w:r>
            <w:r>
              <w:rPr>
                <w:rFonts w:ascii="宋体" w:hAnsi="宋体" w:eastAsia="宋体" w:cs="宋体"/>
                <w:spacing w:val="2"/>
                <w:sz w:val="20"/>
                <w:szCs w:val="20"/>
                <w:highlight w:val="none"/>
              </w:rPr>
              <w:t>。</w:t>
            </w:r>
          </w:p>
          <w:p w14:paraId="51A57D0A">
            <w:pPr>
              <w:spacing w:line="293" w:lineRule="auto"/>
              <w:ind w:left="318"/>
              <w:rPr>
                <w:rFonts w:ascii="宋体" w:hAnsi="宋体" w:eastAsia="宋体" w:cs="宋体"/>
                <w:sz w:val="20"/>
                <w:szCs w:val="20"/>
                <w:highlight w:val="none"/>
              </w:rPr>
            </w:pPr>
            <w:r>
              <w:rPr>
                <w:rFonts w:ascii="宋体" w:hAnsi="宋体" w:eastAsia="宋体" w:cs="宋体"/>
                <w:spacing w:val="2"/>
                <w:sz w:val="20"/>
                <w:szCs w:val="20"/>
                <w:highlight w:val="none"/>
              </w:rPr>
              <w:t>保险费率：</w:t>
            </w:r>
            <w:r>
              <w:rPr>
                <w:rFonts w:ascii="Times New Roman" w:hAnsi="Times New Roman" w:eastAsia="Times New Roman" w:cs="Times New Roman"/>
                <w:spacing w:val="2"/>
                <w:sz w:val="20"/>
                <w:szCs w:val="20"/>
                <w:highlight w:val="none"/>
                <w:u w:val="single" w:color="auto"/>
              </w:rPr>
              <w:t xml:space="preserve">  </w:t>
            </w:r>
            <w:r>
              <w:rPr>
                <w:rFonts w:ascii="Times New Roman" w:hAnsi="Times New Roman" w:eastAsia="Times New Roman" w:cs="Times New Roman"/>
                <w:spacing w:val="1"/>
                <w:sz w:val="20"/>
                <w:szCs w:val="20"/>
                <w:highlight w:val="none"/>
                <w:u w:val="single" w:color="auto"/>
              </w:rPr>
              <w:t xml:space="preserve">0. 1%  </w:t>
            </w:r>
            <w:r>
              <w:rPr>
                <w:rFonts w:ascii="宋体" w:hAnsi="宋体" w:eastAsia="宋体" w:cs="宋体"/>
                <w:spacing w:val="1"/>
                <w:sz w:val="20"/>
                <w:szCs w:val="20"/>
                <w:highlight w:val="none"/>
              </w:rPr>
              <w:t>。</w:t>
            </w:r>
          </w:p>
          <w:p w14:paraId="6B0D2804">
            <w:pPr>
              <w:spacing w:before="120" w:line="399" w:lineRule="exact"/>
              <w:ind w:left="340"/>
              <w:rPr>
                <w:rFonts w:ascii="宋体" w:hAnsi="宋体" w:eastAsia="宋体" w:cs="宋体"/>
                <w:sz w:val="20"/>
                <w:szCs w:val="20"/>
                <w:highlight w:val="none"/>
              </w:rPr>
            </w:pPr>
            <w:r>
              <w:rPr>
                <w:rFonts w:ascii="Times New Roman" w:hAnsi="Times New Roman" w:eastAsia="Times New Roman" w:cs="Times New Roman"/>
                <w:spacing w:val="12"/>
                <w:position w:val="14"/>
                <w:sz w:val="20"/>
                <w:szCs w:val="20"/>
                <w:highlight w:val="none"/>
              </w:rPr>
              <w:t>2</w:t>
            </w:r>
            <w:r>
              <w:rPr>
                <w:rFonts w:ascii="Times New Roman" w:hAnsi="Times New Roman" w:eastAsia="Times New Roman" w:cs="Times New Roman"/>
                <w:spacing w:val="7"/>
                <w:position w:val="14"/>
                <w:sz w:val="20"/>
                <w:szCs w:val="20"/>
                <w:highlight w:val="none"/>
              </w:rPr>
              <w:t>0</w:t>
            </w:r>
            <w:r>
              <w:rPr>
                <w:rFonts w:ascii="Times New Roman" w:hAnsi="Times New Roman" w:eastAsia="Times New Roman" w:cs="Times New Roman"/>
                <w:spacing w:val="6"/>
                <w:position w:val="14"/>
                <w:sz w:val="20"/>
                <w:szCs w:val="20"/>
                <w:highlight w:val="none"/>
              </w:rPr>
              <w:t xml:space="preserve">.4.3 </w:t>
            </w:r>
            <w:r>
              <w:rPr>
                <w:rFonts w:ascii="宋体" w:hAnsi="宋体" w:eastAsia="宋体" w:cs="宋体"/>
                <w:spacing w:val="6"/>
                <w:position w:val="14"/>
                <w:sz w:val="20"/>
                <w:szCs w:val="20"/>
                <w:highlight w:val="none"/>
              </w:rPr>
              <w:t>承包人因办理第三者责任险所发生的费用应认为已含入其他支付项中，发</w:t>
            </w:r>
          </w:p>
          <w:p w14:paraId="76F6552B">
            <w:pPr>
              <w:spacing w:line="228" w:lineRule="auto"/>
              <w:ind w:left="109"/>
              <w:rPr>
                <w:rFonts w:ascii="宋体" w:hAnsi="宋体" w:eastAsia="宋体" w:cs="宋体"/>
                <w:sz w:val="20"/>
                <w:szCs w:val="20"/>
                <w:highlight w:val="none"/>
              </w:rPr>
            </w:pPr>
            <w:r>
              <w:rPr>
                <w:rFonts w:ascii="宋体" w:hAnsi="宋体" w:eastAsia="宋体" w:cs="宋体"/>
                <w:spacing w:val="16"/>
                <w:sz w:val="20"/>
                <w:szCs w:val="20"/>
                <w:highlight w:val="none"/>
              </w:rPr>
              <w:t>包</w:t>
            </w:r>
            <w:r>
              <w:rPr>
                <w:rFonts w:ascii="宋体" w:hAnsi="宋体" w:eastAsia="宋体" w:cs="宋体"/>
                <w:spacing w:val="13"/>
                <w:sz w:val="20"/>
                <w:szCs w:val="20"/>
                <w:highlight w:val="none"/>
              </w:rPr>
              <w:t>人</w:t>
            </w:r>
            <w:r>
              <w:rPr>
                <w:rFonts w:ascii="宋体" w:hAnsi="宋体" w:eastAsia="宋体" w:cs="宋体"/>
                <w:spacing w:val="8"/>
                <w:sz w:val="20"/>
                <w:szCs w:val="20"/>
                <w:highlight w:val="none"/>
              </w:rPr>
              <w:t>不另行计量，出资人不另行支付。</w:t>
            </w:r>
          </w:p>
        </w:tc>
      </w:tr>
      <w:tr w14:paraId="3A1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vAlign w:val="top"/>
          </w:tcPr>
          <w:p w14:paraId="43A28E18">
            <w:pPr>
              <w:spacing w:line="266" w:lineRule="auto"/>
              <w:rPr>
                <w:rFonts w:ascii="Arial"/>
                <w:sz w:val="21"/>
                <w:highlight w:val="none"/>
              </w:rPr>
            </w:pPr>
          </w:p>
          <w:p w14:paraId="1D6A4870">
            <w:pPr>
              <w:spacing w:line="266" w:lineRule="auto"/>
              <w:rPr>
                <w:rFonts w:ascii="Arial"/>
                <w:sz w:val="21"/>
                <w:highlight w:val="none"/>
              </w:rPr>
            </w:pPr>
          </w:p>
          <w:p w14:paraId="69F66F50">
            <w:pPr>
              <w:spacing w:line="267" w:lineRule="auto"/>
              <w:rPr>
                <w:rFonts w:ascii="Arial"/>
                <w:sz w:val="21"/>
                <w:highlight w:val="none"/>
              </w:rPr>
            </w:pPr>
          </w:p>
          <w:p w14:paraId="5ECE3DFA">
            <w:pPr>
              <w:spacing w:line="267" w:lineRule="auto"/>
              <w:rPr>
                <w:rFonts w:ascii="Arial"/>
                <w:sz w:val="21"/>
                <w:highlight w:val="none"/>
              </w:rPr>
            </w:pPr>
          </w:p>
          <w:p w14:paraId="08E781F3">
            <w:pPr>
              <w:spacing w:before="57"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8</w:t>
            </w:r>
          </w:p>
        </w:tc>
        <w:tc>
          <w:tcPr>
            <w:tcW w:w="1113" w:type="dxa"/>
            <w:vAlign w:val="top"/>
          </w:tcPr>
          <w:p w14:paraId="54B45D70">
            <w:pPr>
              <w:spacing w:line="266" w:lineRule="auto"/>
              <w:rPr>
                <w:rFonts w:ascii="Arial"/>
                <w:sz w:val="21"/>
                <w:highlight w:val="none"/>
              </w:rPr>
            </w:pPr>
          </w:p>
          <w:p w14:paraId="3D17A31E">
            <w:pPr>
              <w:spacing w:line="266" w:lineRule="auto"/>
              <w:rPr>
                <w:rFonts w:ascii="Arial"/>
                <w:sz w:val="21"/>
                <w:highlight w:val="none"/>
              </w:rPr>
            </w:pPr>
          </w:p>
          <w:p w14:paraId="3990C22D">
            <w:pPr>
              <w:spacing w:line="267" w:lineRule="auto"/>
              <w:rPr>
                <w:rFonts w:ascii="Arial"/>
                <w:sz w:val="21"/>
                <w:highlight w:val="none"/>
              </w:rPr>
            </w:pPr>
          </w:p>
          <w:p w14:paraId="1BDA61BB">
            <w:pPr>
              <w:spacing w:line="267" w:lineRule="auto"/>
              <w:rPr>
                <w:rFonts w:ascii="Arial"/>
                <w:sz w:val="21"/>
                <w:highlight w:val="none"/>
              </w:rPr>
            </w:pPr>
          </w:p>
          <w:p w14:paraId="4A7AD0F0">
            <w:pPr>
              <w:spacing w:before="58"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2</w:t>
            </w:r>
            <w:r>
              <w:rPr>
                <w:rFonts w:ascii="Times New Roman" w:hAnsi="Times New Roman" w:eastAsia="Times New Roman" w:cs="Times New Roman"/>
                <w:spacing w:val="4"/>
                <w:sz w:val="20"/>
                <w:szCs w:val="20"/>
                <w:highlight w:val="none"/>
              </w:rPr>
              <w:t>0.5</w:t>
            </w:r>
          </w:p>
        </w:tc>
        <w:tc>
          <w:tcPr>
            <w:tcW w:w="7644" w:type="dxa"/>
            <w:tcBorders>
              <w:right w:val="single" w:color="000000" w:sz="6" w:space="0"/>
            </w:tcBorders>
            <w:vAlign w:val="top"/>
          </w:tcPr>
          <w:p w14:paraId="7B855780">
            <w:pPr>
              <w:spacing w:before="138" w:line="369" w:lineRule="auto"/>
              <w:ind w:left="109" w:right="104" w:firstLine="235"/>
              <w:rPr>
                <w:rFonts w:ascii="宋体" w:hAnsi="宋体" w:eastAsia="宋体" w:cs="宋体"/>
                <w:sz w:val="20"/>
                <w:szCs w:val="20"/>
                <w:highlight w:val="none"/>
              </w:rPr>
            </w:pPr>
            <w:r>
              <w:rPr>
                <w:rFonts w:ascii="宋体" w:hAnsi="宋体" w:eastAsia="宋体" w:cs="宋体"/>
                <w:spacing w:val="20"/>
                <w:sz w:val="20"/>
                <w:szCs w:val="20"/>
                <w:highlight w:val="none"/>
              </w:rPr>
              <w:t>承包</w:t>
            </w:r>
            <w:r>
              <w:rPr>
                <w:rFonts w:ascii="宋体" w:hAnsi="宋体" w:eastAsia="宋体" w:cs="宋体"/>
                <w:spacing w:val="14"/>
                <w:sz w:val="20"/>
                <w:szCs w:val="20"/>
                <w:highlight w:val="none"/>
              </w:rPr>
              <w:t>人</w:t>
            </w:r>
            <w:r>
              <w:rPr>
                <w:rFonts w:ascii="宋体" w:hAnsi="宋体" w:eastAsia="宋体" w:cs="宋体"/>
                <w:spacing w:val="10"/>
                <w:sz w:val="20"/>
                <w:szCs w:val="20"/>
                <w:highlight w:val="none"/>
              </w:rPr>
              <w:t>职工的 (人身) 事故险及建筑意外伤害险由承包人自行投保，保险费应</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认</w:t>
            </w:r>
            <w:r>
              <w:rPr>
                <w:rFonts w:ascii="宋体" w:hAnsi="宋体" w:eastAsia="宋体" w:cs="宋体"/>
                <w:spacing w:val="9"/>
                <w:sz w:val="20"/>
                <w:szCs w:val="20"/>
                <w:highlight w:val="none"/>
              </w:rPr>
              <w:t>为已含入其他支付项中，发包人不另行计量或支付。</w:t>
            </w:r>
          </w:p>
          <w:p w14:paraId="4E7FD206">
            <w:pPr>
              <w:spacing w:line="369" w:lineRule="auto"/>
              <w:ind w:left="110" w:right="102" w:firstLine="234"/>
              <w:rPr>
                <w:rFonts w:ascii="宋体" w:hAnsi="宋体" w:eastAsia="宋体" w:cs="宋体"/>
                <w:sz w:val="20"/>
                <w:szCs w:val="20"/>
                <w:highlight w:val="none"/>
              </w:rPr>
            </w:pPr>
            <w:r>
              <w:rPr>
                <w:rFonts w:ascii="宋体" w:hAnsi="宋体" w:eastAsia="宋体" w:cs="宋体"/>
                <w:spacing w:val="22"/>
                <w:sz w:val="20"/>
                <w:szCs w:val="20"/>
                <w:highlight w:val="none"/>
              </w:rPr>
              <w:t>承</w:t>
            </w:r>
            <w:r>
              <w:rPr>
                <w:rFonts w:ascii="宋体" w:hAnsi="宋体" w:eastAsia="宋体" w:cs="宋体"/>
                <w:spacing w:val="12"/>
                <w:sz w:val="20"/>
                <w:szCs w:val="20"/>
                <w:highlight w:val="none"/>
              </w:rPr>
              <w:t>包</w:t>
            </w:r>
            <w:r>
              <w:rPr>
                <w:rFonts w:ascii="宋体" w:hAnsi="宋体" w:eastAsia="宋体" w:cs="宋体"/>
                <w:spacing w:val="11"/>
                <w:sz w:val="20"/>
                <w:szCs w:val="20"/>
                <w:highlight w:val="none"/>
              </w:rPr>
              <w:t>人应按《人力资源社会保障部、交通运输部、水利部、能源局、铁路局、</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民</w:t>
            </w:r>
            <w:r>
              <w:rPr>
                <w:rFonts w:ascii="宋体" w:hAnsi="宋体" w:eastAsia="宋体" w:cs="宋体"/>
                <w:spacing w:val="12"/>
                <w:sz w:val="20"/>
                <w:szCs w:val="20"/>
                <w:highlight w:val="none"/>
              </w:rPr>
              <w:t>航局关于铁路、公路、水运、水利、能源、机场工程建设项目参加工伤保险工</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作</w:t>
            </w:r>
            <w:r>
              <w:rPr>
                <w:rFonts w:ascii="宋体" w:hAnsi="宋体" w:eastAsia="宋体" w:cs="宋体"/>
                <w:spacing w:val="4"/>
                <w:sz w:val="20"/>
                <w:szCs w:val="20"/>
                <w:highlight w:val="none"/>
              </w:rPr>
              <w:t>的通知》  (人社部发〔</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文件的规定，在进场施工前，办理相关手续</w:t>
            </w:r>
            <w:r>
              <w:rPr>
                <w:rFonts w:ascii="宋体" w:hAnsi="宋体" w:eastAsia="宋体" w:cs="宋体"/>
                <w:spacing w:val="12"/>
                <w:sz w:val="20"/>
                <w:szCs w:val="20"/>
                <w:highlight w:val="none"/>
              </w:rPr>
              <w:t>并</w:t>
            </w:r>
            <w:r>
              <w:rPr>
                <w:rFonts w:ascii="宋体" w:hAnsi="宋体" w:eastAsia="宋体" w:cs="宋体"/>
                <w:spacing w:val="8"/>
                <w:sz w:val="20"/>
                <w:szCs w:val="20"/>
                <w:highlight w:val="none"/>
              </w:rPr>
              <w:t>提交人员参加工伤保险的证明</w:t>
            </w:r>
          </w:p>
        </w:tc>
      </w:tr>
      <w:tr w14:paraId="0482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vAlign w:val="top"/>
          </w:tcPr>
          <w:p w14:paraId="4172EB25">
            <w:pPr>
              <w:spacing w:line="243" w:lineRule="auto"/>
              <w:rPr>
                <w:rFonts w:ascii="Arial"/>
                <w:sz w:val="21"/>
                <w:highlight w:val="none"/>
              </w:rPr>
            </w:pPr>
          </w:p>
          <w:p w14:paraId="48AAC1B1">
            <w:pPr>
              <w:spacing w:line="243" w:lineRule="auto"/>
              <w:rPr>
                <w:rFonts w:ascii="Arial"/>
                <w:sz w:val="21"/>
                <w:highlight w:val="none"/>
              </w:rPr>
            </w:pPr>
          </w:p>
          <w:p w14:paraId="24D30B2D">
            <w:pPr>
              <w:spacing w:line="243" w:lineRule="auto"/>
              <w:rPr>
                <w:rFonts w:ascii="Arial"/>
                <w:sz w:val="21"/>
                <w:highlight w:val="none"/>
              </w:rPr>
            </w:pPr>
          </w:p>
          <w:p w14:paraId="30B8135E">
            <w:pPr>
              <w:spacing w:line="243" w:lineRule="auto"/>
              <w:rPr>
                <w:rFonts w:ascii="Arial"/>
                <w:sz w:val="21"/>
                <w:highlight w:val="none"/>
              </w:rPr>
            </w:pPr>
          </w:p>
          <w:p w14:paraId="2A59AC61">
            <w:pPr>
              <w:spacing w:line="243" w:lineRule="auto"/>
              <w:rPr>
                <w:rFonts w:ascii="Arial"/>
                <w:sz w:val="21"/>
                <w:highlight w:val="none"/>
              </w:rPr>
            </w:pPr>
          </w:p>
          <w:p w14:paraId="54F3F16B">
            <w:pPr>
              <w:spacing w:line="243" w:lineRule="auto"/>
              <w:rPr>
                <w:rFonts w:ascii="Arial"/>
                <w:sz w:val="21"/>
                <w:highlight w:val="none"/>
              </w:rPr>
            </w:pPr>
          </w:p>
          <w:p w14:paraId="5F2984E4">
            <w:pPr>
              <w:spacing w:line="243" w:lineRule="auto"/>
              <w:rPr>
                <w:rFonts w:ascii="Arial"/>
                <w:sz w:val="21"/>
                <w:highlight w:val="none"/>
              </w:rPr>
            </w:pPr>
          </w:p>
          <w:p w14:paraId="713A3492">
            <w:pPr>
              <w:spacing w:line="243" w:lineRule="auto"/>
              <w:rPr>
                <w:rFonts w:ascii="Arial"/>
                <w:sz w:val="21"/>
                <w:highlight w:val="none"/>
              </w:rPr>
            </w:pPr>
          </w:p>
          <w:p w14:paraId="52F0A502">
            <w:pPr>
              <w:spacing w:line="243" w:lineRule="auto"/>
              <w:rPr>
                <w:rFonts w:ascii="Arial"/>
                <w:sz w:val="21"/>
                <w:highlight w:val="none"/>
              </w:rPr>
            </w:pPr>
          </w:p>
          <w:p w14:paraId="5B9E93DD">
            <w:pPr>
              <w:spacing w:line="243" w:lineRule="auto"/>
              <w:rPr>
                <w:rFonts w:ascii="Arial"/>
                <w:sz w:val="21"/>
                <w:highlight w:val="none"/>
              </w:rPr>
            </w:pPr>
          </w:p>
          <w:p w14:paraId="13B00B94">
            <w:pPr>
              <w:spacing w:line="244" w:lineRule="auto"/>
              <w:rPr>
                <w:rFonts w:ascii="Arial"/>
                <w:sz w:val="21"/>
                <w:highlight w:val="none"/>
              </w:rPr>
            </w:pPr>
          </w:p>
          <w:p w14:paraId="149DF7E1">
            <w:pPr>
              <w:spacing w:line="244" w:lineRule="auto"/>
              <w:rPr>
                <w:rFonts w:ascii="Arial"/>
                <w:sz w:val="21"/>
                <w:highlight w:val="none"/>
              </w:rPr>
            </w:pPr>
          </w:p>
          <w:p w14:paraId="0B5CEEDD">
            <w:pPr>
              <w:spacing w:line="244" w:lineRule="auto"/>
              <w:rPr>
                <w:rFonts w:ascii="Arial"/>
                <w:sz w:val="21"/>
                <w:highlight w:val="none"/>
              </w:rPr>
            </w:pPr>
          </w:p>
          <w:p w14:paraId="573C10B2">
            <w:pPr>
              <w:spacing w:line="244" w:lineRule="auto"/>
              <w:rPr>
                <w:rFonts w:ascii="Arial"/>
                <w:sz w:val="21"/>
                <w:highlight w:val="none"/>
              </w:rPr>
            </w:pPr>
          </w:p>
          <w:p w14:paraId="185C7526">
            <w:pPr>
              <w:spacing w:line="244" w:lineRule="auto"/>
              <w:rPr>
                <w:rFonts w:ascii="Arial"/>
                <w:sz w:val="21"/>
                <w:highlight w:val="none"/>
              </w:rPr>
            </w:pPr>
          </w:p>
          <w:p w14:paraId="317E9372">
            <w:pPr>
              <w:spacing w:before="57" w:line="195" w:lineRule="auto"/>
              <w:ind w:left="162"/>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49</w:t>
            </w:r>
          </w:p>
        </w:tc>
        <w:tc>
          <w:tcPr>
            <w:tcW w:w="1113" w:type="dxa"/>
            <w:vAlign w:val="top"/>
          </w:tcPr>
          <w:p w14:paraId="11E1CCB9">
            <w:pPr>
              <w:spacing w:line="243" w:lineRule="auto"/>
              <w:rPr>
                <w:rFonts w:ascii="Arial"/>
                <w:sz w:val="21"/>
                <w:highlight w:val="none"/>
              </w:rPr>
            </w:pPr>
          </w:p>
          <w:p w14:paraId="1894EAFF">
            <w:pPr>
              <w:spacing w:line="243" w:lineRule="auto"/>
              <w:rPr>
                <w:rFonts w:ascii="Arial"/>
                <w:sz w:val="21"/>
                <w:highlight w:val="none"/>
              </w:rPr>
            </w:pPr>
          </w:p>
          <w:p w14:paraId="62DC43B0">
            <w:pPr>
              <w:spacing w:line="243" w:lineRule="auto"/>
              <w:rPr>
                <w:rFonts w:ascii="Arial"/>
                <w:sz w:val="21"/>
                <w:highlight w:val="none"/>
              </w:rPr>
            </w:pPr>
          </w:p>
          <w:p w14:paraId="79EC64FD">
            <w:pPr>
              <w:spacing w:line="243" w:lineRule="auto"/>
              <w:rPr>
                <w:rFonts w:ascii="Arial"/>
                <w:sz w:val="21"/>
                <w:highlight w:val="none"/>
              </w:rPr>
            </w:pPr>
          </w:p>
          <w:p w14:paraId="7F4209CF">
            <w:pPr>
              <w:spacing w:line="243" w:lineRule="auto"/>
              <w:rPr>
                <w:rFonts w:ascii="Arial"/>
                <w:sz w:val="21"/>
                <w:highlight w:val="none"/>
              </w:rPr>
            </w:pPr>
          </w:p>
          <w:p w14:paraId="038D7D16">
            <w:pPr>
              <w:spacing w:line="243" w:lineRule="auto"/>
              <w:rPr>
                <w:rFonts w:ascii="Arial"/>
                <w:sz w:val="21"/>
                <w:highlight w:val="none"/>
              </w:rPr>
            </w:pPr>
          </w:p>
          <w:p w14:paraId="7DA3283A">
            <w:pPr>
              <w:spacing w:line="243" w:lineRule="auto"/>
              <w:rPr>
                <w:rFonts w:ascii="Arial"/>
                <w:sz w:val="21"/>
                <w:highlight w:val="none"/>
              </w:rPr>
            </w:pPr>
          </w:p>
          <w:p w14:paraId="6B1C9508">
            <w:pPr>
              <w:spacing w:line="243" w:lineRule="auto"/>
              <w:rPr>
                <w:rFonts w:ascii="Arial"/>
                <w:sz w:val="21"/>
                <w:highlight w:val="none"/>
              </w:rPr>
            </w:pPr>
          </w:p>
          <w:p w14:paraId="182AF8BA">
            <w:pPr>
              <w:spacing w:line="243" w:lineRule="auto"/>
              <w:rPr>
                <w:rFonts w:ascii="Arial"/>
                <w:sz w:val="21"/>
                <w:highlight w:val="none"/>
              </w:rPr>
            </w:pPr>
          </w:p>
          <w:p w14:paraId="0B48153C">
            <w:pPr>
              <w:spacing w:line="243" w:lineRule="auto"/>
              <w:rPr>
                <w:rFonts w:ascii="Arial"/>
                <w:sz w:val="21"/>
                <w:highlight w:val="none"/>
              </w:rPr>
            </w:pPr>
          </w:p>
          <w:p w14:paraId="46FF2CB6">
            <w:pPr>
              <w:spacing w:line="244" w:lineRule="auto"/>
              <w:rPr>
                <w:rFonts w:ascii="Arial"/>
                <w:sz w:val="21"/>
                <w:highlight w:val="none"/>
              </w:rPr>
            </w:pPr>
          </w:p>
          <w:p w14:paraId="1863F30B">
            <w:pPr>
              <w:spacing w:line="244" w:lineRule="auto"/>
              <w:rPr>
                <w:rFonts w:ascii="Arial"/>
                <w:sz w:val="21"/>
                <w:highlight w:val="none"/>
              </w:rPr>
            </w:pPr>
          </w:p>
          <w:p w14:paraId="2BA9F3BF">
            <w:pPr>
              <w:spacing w:line="244" w:lineRule="auto"/>
              <w:rPr>
                <w:rFonts w:ascii="Arial"/>
                <w:sz w:val="21"/>
                <w:highlight w:val="none"/>
              </w:rPr>
            </w:pPr>
          </w:p>
          <w:p w14:paraId="6DF14577">
            <w:pPr>
              <w:spacing w:line="244" w:lineRule="auto"/>
              <w:rPr>
                <w:rFonts w:ascii="Arial"/>
                <w:sz w:val="21"/>
                <w:highlight w:val="none"/>
              </w:rPr>
            </w:pPr>
          </w:p>
          <w:p w14:paraId="1D83F60D">
            <w:pPr>
              <w:spacing w:line="244" w:lineRule="auto"/>
              <w:rPr>
                <w:rFonts w:ascii="Arial"/>
                <w:sz w:val="21"/>
                <w:highlight w:val="none"/>
              </w:rPr>
            </w:pPr>
          </w:p>
          <w:p w14:paraId="31891083">
            <w:pPr>
              <w:spacing w:before="57" w:line="198" w:lineRule="auto"/>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2. 1.2</w:t>
            </w:r>
          </w:p>
        </w:tc>
        <w:tc>
          <w:tcPr>
            <w:tcW w:w="7644" w:type="dxa"/>
            <w:tcBorders>
              <w:right w:val="single" w:color="000000" w:sz="6" w:space="0"/>
            </w:tcBorders>
            <w:vAlign w:val="top"/>
          </w:tcPr>
          <w:p w14:paraId="00EA7CC7">
            <w:pPr>
              <w:spacing w:before="139" w:line="228" w:lineRule="auto"/>
              <w:ind w:left="34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22.</w:t>
            </w:r>
            <w:r>
              <w:rPr>
                <w:rFonts w:ascii="Times New Roman" w:hAnsi="Times New Roman" w:eastAsia="Times New Roman" w:cs="Times New Roman"/>
                <w:spacing w:val="5"/>
                <w:sz w:val="20"/>
                <w:szCs w:val="20"/>
                <w:highlight w:val="none"/>
              </w:rPr>
              <w:t xml:space="preserve"> </w:t>
            </w:r>
            <w:r>
              <w:rPr>
                <w:rFonts w:ascii="Times New Roman" w:hAnsi="Times New Roman" w:eastAsia="Times New Roman" w:cs="Times New Roman"/>
                <w:spacing w:val="3"/>
                <w:sz w:val="20"/>
                <w:szCs w:val="20"/>
                <w:highlight w:val="none"/>
              </w:rPr>
              <w:t xml:space="preserve">1.2  </w:t>
            </w:r>
            <w:r>
              <w:rPr>
                <w:rFonts w:ascii="宋体" w:hAnsi="宋体" w:eastAsia="宋体" w:cs="宋体"/>
                <w:spacing w:val="3"/>
                <w:sz w:val="20"/>
                <w:szCs w:val="20"/>
                <w:highlight w:val="none"/>
              </w:rPr>
              <w:t>对承包人违约的处理</w:t>
            </w:r>
          </w:p>
          <w:p w14:paraId="3E38D255">
            <w:pPr>
              <w:spacing w:before="154" w:line="401" w:lineRule="exact"/>
              <w:ind w:left="344"/>
              <w:rPr>
                <w:rFonts w:ascii="宋体" w:hAnsi="宋体" w:eastAsia="宋体" w:cs="宋体"/>
                <w:sz w:val="20"/>
                <w:szCs w:val="20"/>
                <w:highlight w:val="none"/>
              </w:rPr>
            </w:pPr>
            <w:r>
              <w:rPr>
                <w:rFonts w:ascii="宋体" w:hAnsi="宋体" w:eastAsia="宋体" w:cs="宋体"/>
                <w:spacing w:val="3"/>
                <w:position w:val="14"/>
                <w:sz w:val="20"/>
                <w:szCs w:val="20"/>
                <w:highlight w:val="none"/>
              </w:rPr>
              <w:t xml:space="preserve">承包人发生第 </w:t>
            </w:r>
            <w:r>
              <w:rPr>
                <w:rFonts w:ascii="Times New Roman" w:hAnsi="Times New Roman" w:eastAsia="Times New Roman" w:cs="Times New Roman"/>
                <w:spacing w:val="3"/>
                <w:position w:val="14"/>
                <w:sz w:val="20"/>
                <w:szCs w:val="20"/>
                <w:highlight w:val="none"/>
              </w:rPr>
              <w:t xml:space="preserve">22. 1. 1 </w:t>
            </w:r>
            <w:r>
              <w:rPr>
                <w:rFonts w:ascii="宋体" w:hAnsi="宋体" w:eastAsia="宋体" w:cs="宋体"/>
                <w:spacing w:val="3"/>
                <w:position w:val="14"/>
                <w:sz w:val="20"/>
                <w:szCs w:val="20"/>
                <w:highlight w:val="none"/>
              </w:rPr>
              <w:t>项 (</w:t>
            </w:r>
            <w:r>
              <w:rPr>
                <w:rFonts w:ascii="Times New Roman" w:hAnsi="Times New Roman" w:eastAsia="Times New Roman" w:cs="Times New Roman"/>
                <w:spacing w:val="3"/>
                <w:position w:val="14"/>
                <w:sz w:val="20"/>
                <w:szCs w:val="20"/>
                <w:highlight w:val="none"/>
              </w:rPr>
              <w:t>1</w:t>
            </w:r>
            <w:r>
              <w:rPr>
                <w:rFonts w:ascii="宋体" w:hAnsi="宋体" w:eastAsia="宋体" w:cs="宋体"/>
                <w:spacing w:val="3"/>
                <w:position w:val="14"/>
                <w:sz w:val="20"/>
                <w:szCs w:val="20"/>
                <w:highlight w:val="none"/>
              </w:rPr>
              <w:t>) 至 (</w:t>
            </w:r>
            <w:r>
              <w:rPr>
                <w:rFonts w:ascii="Times New Roman" w:hAnsi="Times New Roman" w:eastAsia="Times New Roman" w:cs="Times New Roman"/>
                <w:spacing w:val="3"/>
                <w:position w:val="14"/>
                <w:sz w:val="20"/>
                <w:szCs w:val="20"/>
                <w:highlight w:val="none"/>
              </w:rPr>
              <w:t>10</w:t>
            </w:r>
            <w:r>
              <w:rPr>
                <w:rFonts w:ascii="宋体" w:hAnsi="宋体" w:eastAsia="宋体" w:cs="宋体"/>
                <w:spacing w:val="3"/>
                <w:position w:val="14"/>
                <w:sz w:val="20"/>
                <w:szCs w:val="20"/>
                <w:highlight w:val="none"/>
              </w:rPr>
              <w:t>) 目约定的违约情况时，发包人可视</w:t>
            </w:r>
            <w:r>
              <w:rPr>
                <w:rFonts w:ascii="宋体" w:hAnsi="宋体" w:eastAsia="宋体" w:cs="宋体"/>
                <w:spacing w:val="2"/>
                <w:position w:val="14"/>
                <w:sz w:val="20"/>
                <w:szCs w:val="20"/>
                <w:highlight w:val="none"/>
              </w:rPr>
              <w:t>承</w:t>
            </w:r>
            <w:r>
              <w:rPr>
                <w:rFonts w:ascii="宋体" w:hAnsi="宋体" w:eastAsia="宋体" w:cs="宋体"/>
                <w:position w:val="14"/>
                <w:sz w:val="20"/>
                <w:szCs w:val="20"/>
                <w:highlight w:val="none"/>
              </w:rPr>
              <w:t>包人</w:t>
            </w:r>
          </w:p>
          <w:p w14:paraId="78C8B694">
            <w:pPr>
              <w:spacing w:line="225" w:lineRule="auto"/>
              <w:ind w:left="109"/>
              <w:rPr>
                <w:rFonts w:ascii="宋体" w:hAnsi="宋体" w:eastAsia="宋体" w:cs="宋体"/>
                <w:sz w:val="20"/>
                <w:szCs w:val="20"/>
                <w:highlight w:val="none"/>
              </w:rPr>
            </w:pPr>
            <w:r>
              <w:rPr>
                <w:rFonts w:ascii="宋体" w:hAnsi="宋体" w:eastAsia="宋体" w:cs="宋体"/>
                <w:spacing w:val="9"/>
                <w:sz w:val="20"/>
                <w:szCs w:val="20"/>
                <w:highlight w:val="none"/>
              </w:rPr>
              <w:t>违约的具体行为和严重程度采取下列措施之一：</w:t>
            </w:r>
          </w:p>
          <w:p w14:paraId="4F482D5B">
            <w:pPr>
              <w:spacing w:before="119" w:line="376" w:lineRule="auto"/>
              <w:ind w:left="109" w:right="102" w:firstLine="245"/>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1</w:t>
            </w:r>
            <w:r>
              <w:rPr>
                <w:rFonts w:ascii="宋体" w:hAnsi="宋体" w:eastAsia="宋体" w:cs="宋体"/>
                <w:spacing w:val="20"/>
                <w:sz w:val="20"/>
                <w:szCs w:val="20"/>
                <w:highlight w:val="none"/>
              </w:rPr>
              <w:t>)</w:t>
            </w:r>
            <w:r>
              <w:rPr>
                <w:rFonts w:ascii="宋体" w:hAnsi="宋体" w:eastAsia="宋体" w:cs="宋体"/>
                <w:spacing w:val="10"/>
                <w:sz w:val="20"/>
                <w:szCs w:val="20"/>
                <w:highlight w:val="none"/>
              </w:rPr>
              <w:t xml:space="preserve">  发包人可按不超过签约合同价 </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的金额扣缴承包人违约金，即使交纳</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了</w:t>
            </w:r>
            <w:r>
              <w:rPr>
                <w:rFonts w:ascii="宋体" w:hAnsi="宋体" w:eastAsia="宋体" w:cs="宋体"/>
                <w:spacing w:val="12"/>
                <w:sz w:val="20"/>
                <w:szCs w:val="20"/>
                <w:highlight w:val="none"/>
              </w:rPr>
              <w:t>违约金，承包人仍应按合同规定继续实施和完成本合同工程及其缺陷修复；若</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包人未经批准擅自撤离工地，发包人除扣除承包人的全部履约担保和剩余工程</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款</w:t>
            </w:r>
            <w:r>
              <w:rPr>
                <w:rFonts w:ascii="宋体" w:hAnsi="宋体" w:eastAsia="宋体" w:cs="宋体"/>
                <w:spacing w:val="12"/>
                <w:sz w:val="20"/>
                <w:szCs w:val="20"/>
                <w:highlight w:val="none"/>
              </w:rPr>
              <w:t>项之外，并不承担承包人与其它承包人、供货商等的经济纠纷和法律责任，也</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不</w:t>
            </w:r>
            <w:r>
              <w:rPr>
                <w:rFonts w:ascii="宋体" w:hAnsi="宋体" w:eastAsia="宋体" w:cs="宋体"/>
                <w:spacing w:val="7"/>
                <w:sz w:val="20"/>
                <w:szCs w:val="20"/>
                <w:highlight w:val="none"/>
              </w:rPr>
              <w:t>赔偿任何费用。</w:t>
            </w:r>
          </w:p>
          <w:p w14:paraId="4B98149B">
            <w:pPr>
              <w:spacing w:before="1" w:line="369" w:lineRule="auto"/>
              <w:ind w:left="109" w:right="102" w:firstLine="245"/>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2</w:t>
            </w:r>
            <w:r>
              <w:rPr>
                <w:rFonts w:ascii="宋体" w:hAnsi="宋体" w:eastAsia="宋体" w:cs="宋体"/>
                <w:spacing w:val="13"/>
                <w:sz w:val="20"/>
                <w:szCs w:val="20"/>
                <w:highlight w:val="none"/>
              </w:rPr>
              <w:t>)  发包人可雇用其他承包人完成部分工程。承包人无权对此提出反对意见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并</w:t>
            </w:r>
            <w:r>
              <w:rPr>
                <w:rFonts w:ascii="宋体" w:hAnsi="宋体" w:eastAsia="宋体" w:cs="宋体"/>
                <w:spacing w:val="12"/>
                <w:sz w:val="20"/>
                <w:szCs w:val="20"/>
                <w:highlight w:val="none"/>
              </w:rPr>
              <w:t>应按合同规定完成合同工程其余部分的施工和缺陷修复。在这种情况下，发包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向承包人支付的合同价格中不应包括由其他承包人完成的那部分工程的价格。</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包人有权扣除承包人的全部履约担保作为违约金，监理人还应确定由于承包人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违</w:t>
            </w:r>
            <w:r>
              <w:rPr>
                <w:rFonts w:ascii="宋体" w:hAnsi="宋体" w:eastAsia="宋体" w:cs="宋体"/>
                <w:spacing w:val="12"/>
                <w:sz w:val="20"/>
                <w:szCs w:val="20"/>
                <w:highlight w:val="none"/>
              </w:rPr>
              <w:t>约而给发包人造成的费用增加和其他损失，报发包人批准后从应付或到期应付</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给</w:t>
            </w:r>
            <w:r>
              <w:rPr>
                <w:rFonts w:ascii="宋体" w:hAnsi="宋体" w:eastAsia="宋体" w:cs="宋体"/>
                <w:spacing w:val="12"/>
                <w:sz w:val="20"/>
                <w:szCs w:val="20"/>
                <w:highlight w:val="none"/>
              </w:rPr>
              <w:t>承</w:t>
            </w:r>
            <w:r>
              <w:rPr>
                <w:rFonts w:ascii="宋体" w:hAnsi="宋体" w:eastAsia="宋体" w:cs="宋体"/>
                <w:spacing w:val="9"/>
                <w:sz w:val="20"/>
                <w:szCs w:val="20"/>
                <w:highlight w:val="none"/>
              </w:rPr>
              <w:t>包人的款项中扣除，监理人应将上述决定通知承包人，并抄送发包人；</w:t>
            </w:r>
          </w:p>
          <w:p w14:paraId="1ED2E617">
            <w:pPr>
              <w:spacing w:before="3" w:line="368" w:lineRule="auto"/>
              <w:ind w:left="111" w:right="102" w:firstLine="242"/>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4"/>
                <w:sz w:val="20"/>
                <w:szCs w:val="20"/>
                <w:highlight w:val="none"/>
              </w:rPr>
              <w:t>3</w:t>
            </w:r>
            <w:r>
              <w:rPr>
                <w:rFonts w:ascii="宋体" w:hAnsi="宋体" w:eastAsia="宋体" w:cs="宋体"/>
                <w:spacing w:val="8"/>
                <w:sz w:val="20"/>
                <w:szCs w:val="20"/>
                <w:highlight w:val="none"/>
              </w:rPr>
              <w:t xml:space="preserve">)  发包人在向承包人发出书面通知的 </w:t>
            </w:r>
            <w:r>
              <w:rPr>
                <w:rFonts w:ascii="Times New Roman" w:hAnsi="Times New Roman" w:eastAsia="Times New Roman" w:cs="Times New Roman"/>
                <w:spacing w:val="8"/>
                <w:sz w:val="20"/>
                <w:szCs w:val="20"/>
                <w:highlight w:val="none"/>
              </w:rPr>
              <w:t xml:space="preserve">14 </w:t>
            </w:r>
            <w:r>
              <w:rPr>
                <w:rFonts w:ascii="宋体" w:hAnsi="宋体" w:eastAsia="宋体" w:cs="宋体"/>
                <w:spacing w:val="8"/>
                <w:sz w:val="20"/>
                <w:szCs w:val="20"/>
                <w:highlight w:val="none"/>
              </w:rPr>
              <w:t>天之后可以进驻现场和接管工程，</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终止承包人对本合同工程的承包，但不因此解除合同规定的承包人的任何义务</w:t>
            </w:r>
            <w:r>
              <w:rPr>
                <w:rFonts w:ascii="宋体" w:hAnsi="宋体" w:eastAsia="宋体" w:cs="宋体"/>
                <w:spacing w:val="11"/>
                <w:sz w:val="20"/>
                <w:szCs w:val="20"/>
                <w:highlight w:val="none"/>
              </w:rPr>
              <w:t>和</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责任，或影响合同赋予发包人或监理人的各种权利和权限。发包人可自行完成</w:t>
            </w:r>
            <w:r>
              <w:rPr>
                <w:rFonts w:ascii="宋体" w:hAnsi="宋体" w:eastAsia="宋体" w:cs="宋体"/>
                <w:spacing w:val="11"/>
                <w:sz w:val="20"/>
                <w:szCs w:val="20"/>
                <w:highlight w:val="none"/>
              </w:rPr>
              <w:t>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工程，或邀请其他承包人完成该工程。发包人或其他承包人为了完成本工程可</w:t>
            </w:r>
            <w:r>
              <w:rPr>
                <w:rFonts w:ascii="宋体" w:hAnsi="宋体" w:eastAsia="宋体" w:cs="宋体"/>
                <w:spacing w:val="11"/>
                <w:sz w:val="20"/>
                <w:szCs w:val="20"/>
                <w:highlight w:val="none"/>
              </w:rPr>
              <w:t>以</w:t>
            </w:r>
            <w:r>
              <w:rPr>
                <w:rFonts w:ascii="宋体" w:hAnsi="宋体" w:eastAsia="宋体" w:cs="宋体"/>
                <w:spacing w:val="13"/>
                <w:sz w:val="20"/>
                <w:szCs w:val="20"/>
                <w:highlight w:val="none"/>
              </w:rPr>
              <w:t>使</w:t>
            </w:r>
            <w:r>
              <w:rPr>
                <w:rFonts w:ascii="宋体" w:hAnsi="宋体" w:eastAsia="宋体" w:cs="宋体"/>
                <w:spacing w:val="12"/>
                <w:sz w:val="20"/>
                <w:szCs w:val="20"/>
                <w:highlight w:val="none"/>
              </w:rPr>
              <w:t>用任何的承包人设备、临时工程和材料。发包人有权扣除承包人的全部履约担</w:t>
            </w:r>
          </w:p>
        </w:tc>
      </w:tr>
    </w:tbl>
    <w:p w14:paraId="5BD980D3">
      <w:pPr>
        <w:rPr>
          <w:rFonts w:ascii="Arial"/>
          <w:sz w:val="21"/>
          <w:highlight w:val="none"/>
        </w:rPr>
      </w:pPr>
    </w:p>
    <w:p w14:paraId="462FAAEA">
      <w:pPr>
        <w:rPr>
          <w:highlight w:val="none"/>
        </w:rPr>
        <w:sectPr>
          <w:headerReference r:id="rId34" w:type="default"/>
          <w:footerReference r:id="rId35" w:type="default"/>
          <w:pgSz w:w="11907" w:h="16840"/>
          <w:pgMar w:top="1165" w:right="1301" w:bottom="1333" w:left="1299" w:header="883" w:footer="1173" w:gutter="0"/>
          <w:cols w:space="720" w:num="1"/>
        </w:sectPr>
      </w:pPr>
    </w:p>
    <w:p w14:paraId="2C4646B6">
      <w:pPr>
        <w:spacing w:line="216" w:lineRule="exact"/>
        <w:rPr>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F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3DCADFEE">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3D643ABA">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046FFB99">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17B6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0" w:hRule="atLeast"/>
        </w:trPr>
        <w:tc>
          <w:tcPr>
            <w:tcW w:w="534" w:type="dxa"/>
            <w:tcBorders>
              <w:left w:val="single" w:color="000000" w:sz="6" w:space="0"/>
            </w:tcBorders>
            <w:vAlign w:val="top"/>
          </w:tcPr>
          <w:p w14:paraId="6FB5B6CB">
            <w:pPr>
              <w:rPr>
                <w:rFonts w:ascii="Arial"/>
                <w:sz w:val="21"/>
                <w:highlight w:val="none"/>
              </w:rPr>
            </w:pPr>
          </w:p>
        </w:tc>
        <w:tc>
          <w:tcPr>
            <w:tcW w:w="1113" w:type="dxa"/>
            <w:vAlign w:val="top"/>
          </w:tcPr>
          <w:p w14:paraId="747A5EBA">
            <w:pPr>
              <w:rPr>
                <w:rFonts w:ascii="Arial"/>
                <w:sz w:val="21"/>
                <w:highlight w:val="none"/>
              </w:rPr>
            </w:pPr>
          </w:p>
        </w:tc>
        <w:tc>
          <w:tcPr>
            <w:tcW w:w="7644" w:type="dxa"/>
            <w:tcBorders>
              <w:right w:val="single" w:color="000000" w:sz="6" w:space="0"/>
            </w:tcBorders>
            <w:vAlign w:val="top"/>
          </w:tcPr>
          <w:p w14:paraId="52EDE049">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作为违约金，监理人还应确定由于承包人违约而给发包人造成的费用增加和其</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他</w:t>
            </w:r>
            <w:r>
              <w:rPr>
                <w:rFonts w:ascii="宋体" w:hAnsi="宋体" w:eastAsia="宋体" w:cs="宋体"/>
                <w:spacing w:val="12"/>
                <w:sz w:val="20"/>
                <w:szCs w:val="20"/>
                <w:highlight w:val="none"/>
              </w:rPr>
              <w:t>损失，报发包人批准后从应付或到期应付给承包人的款项中扣除，监理人应将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 xml:space="preserve">上述决定通知承包人，并抄送发包人。合同终止后的有关事宜应按照第 </w:t>
            </w:r>
            <w:r>
              <w:rPr>
                <w:rFonts w:ascii="Times New Roman" w:hAnsi="Times New Roman" w:eastAsia="Times New Roman" w:cs="Times New Roman"/>
                <w:spacing w:val="8"/>
                <w:sz w:val="20"/>
                <w:szCs w:val="20"/>
                <w:highlight w:val="none"/>
              </w:rPr>
              <w:t xml:space="preserve">22. 1.4 </w:t>
            </w:r>
            <w:r>
              <w:rPr>
                <w:rFonts w:ascii="宋体" w:hAnsi="宋体" w:eastAsia="宋体" w:cs="宋体"/>
                <w:spacing w:val="3"/>
                <w:sz w:val="20"/>
                <w:szCs w:val="20"/>
                <w:highlight w:val="none"/>
              </w:rPr>
              <w:t>和</w:t>
            </w:r>
            <w:r>
              <w:rPr>
                <w:rFonts w:ascii="宋体" w:hAnsi="宋体" w:eastAsia="宋体" w:cs="宋体"/>
                <w:sz w:val="20"/>
                <w:szCs w:val="20"/>
                <w:highlight w:val="none"/>
              </w:rPr>
              <w:t xml:space="preserve"> </w:t>
            </w:r>
            <w:r>
              <w:rPr>
                <w:rFonts w:ascii="Times New Roman" w:hAnsi="Times New Roman" w:eastAsia="Times New Roman" w:cs="Times New Roman"/>
                <w:spacing w:val="2"/>
                <w:sz w:val="20"/>
                <w:szCs w:val="20"/>
                <w:highlight w:val="none"/>
              </w:rPr>
              <w:t xml:space="preserve">22. 1.5 </w:t>
            </w:r>
            <w:r>
              <w:rPr>
                <w:rFonts w:ascii="宋体" w:hAnsi="宋体" w:eastAsia="宋体" w:cs="宋体"/>
                <w:spacing w:val="2"/>
                <w:sz w:val="20"/>
                <w:szCs w:val="20"/>
                <w:highlight w:val="none"/>
              </w:rPr>
              <w:t>款的规定办理</w:t>
            </w:r>
            <w:r>
              <w:rPr>
                <w:rFonts w:ascii="宋体" w:hAnsi="宋体" w:eastAsia="宋体" w:cs="宋体"/>
                <w:spacing w:val="1"/>
                <w:sz w:val="20"/>
                <w:szCs w:val="20"/>
                <w:highlight w:val="none"/>
              </w:rPr>
              <w:t>。</w:t>
            </w:r>
          </w:p>
          <w:p w14:paraId="7939C474">
            <w:pPr>
              <w:spacing w:line="369" w:lineRule="auto"/>
              <w:ind w:left="109" w:right="102" w:firstLine="236"/>
              <w:rPr>
                <w:rFonts w:ascii="Arial"/>
                <w:sz w:val="21"/>
                <w:highlight w:val="none"/>
              </w:rPr>
            </w:pPr>
          </w:p>
          <w:p w14:paraId="2EC077F3">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20"/>
                <w:sz w:val="20"/>
                <w:szCs w:val="20"/>
                <w:highlight w:val="none"/>
              </w:rPr>
              <w:t>此</w:t>
            </w:r>
            <w:r>
              <w:rPr>
                <w:rFonts w:ascii="宋体" w:hAnsi="宋体" w:eastAsia="宋体" w:cs="宋体"/>
                <w:spacing w:val="11"/>
                <w:sz w:val="20"/>
                <w:szCs w:val="20"/>
                <w:highlight w:val="none"/>
              </w:rPr>
              <w:t>外，当承包人发生了下述违约现象之后，发包人可依据下列具体情况扣除承</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包人的违约金：</w:t>
            </w:r>
          </w:p>
          <w:p w14:paraId="361E4D59">
            <w:pPr>
              <w:spacing w:line="369" w:lineRule="auto"/>
              <w:ind w:left="109" w:right="102" w:firstLine="236"/>
              <w:rPr>
                <w:rFonts w:ascii="宋体" w:hAnsi="宋体" w:eastAsia="宋体" w:cs="宋体"/>
                <w:sz w:val="20"/>
                <w:szCs w:val="20"/>
                <w:highlight w:val="none"/>
              </w:rPr>
            </w:pPr>
            <w:r>
              <w:rPr>
                <w:rFonts w:ascii="宋体" w:hAnsi="宋体" w:eastAsia="宋体" w:cs="宋体"/>
                <w:spacing w:val="21"/>
                <w:sz w:val="20"/>
                <w:szCs w:val="20"/>
                <w:highlight w:val="none"/>
              </w:rPr>
              <w:t>(</w:t>
            </w:r>
            <w:r>
              <w:rPr>
                <w:rFonts w:ascii="Times New Roman" w:hAnsi="Times New Roman" w:eastAsia="Times New Roman" w:cs="Times New Roman"/>
                <w:spacing w:val="13"/>
                <w:sz w:val="20"/>
                <w:szCs w:val="20"/>
                <w:highlight w:val="none"/>
              </w:rPr>
              <w:t>1</w:t>
            </w:r>
            <w:r>
              <w:rPr>
                <w:rFonts w:ascii="宋体" w:hAnsi="宋体" w:eastAsia="宋体" w:cs="宋体"/>
                <w:spacing w:val="13"/>
                <w:sz w:val="20"/>
                <w:szCs w:val="20"/>
                <w:highlight w:val="none"/>
              </w:rPr>
              <w:t>)  承包人在监理人规定的截止日前，项目经理、项目总工没有按时进场，</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或</w:t>
            </w:r>
            <w:r>
              <w:rPr>
                <w:rFonts w:ascii="宋体" w:hAnsi="宋体" w:eastAsia="宋体" w:cs="宋体"/>
                <w:spacing w:val="15"/>
                <w:sz w:val="20"/>
                <w:szCs w:val="20"/>
                <w:highlight w:val="none"/>
              </w:rPr>
              <w:t>进</w:t>
            </w:r>
            <w:r>
              <w:rPr>
                <w:rFonts w:ascii="宋体" w:hAnsi="宋体" w:eastAsia="宋体" w:cs="宋体"/>
                <w:spacing w:val="11"/>
                <w:sz w:val="20"/>
                <w:szCs w:val="20"/>
                <w:highlight w:val="none"/>
              </w:rPr>
              <w:t>场后未经发包人项目指挥部和总监办主任 (或设驻地办的驻地办主任) 批准</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又离</w:t>
            </w:r>
            <w:r>
              <w:rPr>
                <w:rFonts w:ascii="宋体" w:hAnsi="宋体" w:eastAsia="宋体" w:cs="宋体"/>
                <w:spacing w:val="5"/>
                <w:sz w:val="20"/>
                <w:szCs w:val="20"/>
                <w:highlight w:val="none"/>
              </w:rPr>
              <w:t xml:space="preserve">开工地，发包人将按 </w:t>
            </w:r>
            <w:r>
              <w:rPr>
                <w:rFonts w:ascii="Times New Roman" w:hAnsi="Times New Roman" w:eastAsia="Times New Roman" w:cs="Times New Roman"/>
                <w:spacing w:val="5"/>
                <w:sz w:val="20"/>
                <w:szCs w:val="20"/>
                <w:highlight w:val="none"/>
              </w:rPr>
              <w:t xml:space="preserve">10000 </w:t>
            </w:r>
            <w:r>
              <w:rPr>
                <w:rFonts w:ascii="宋体" w:hAnsi="宋体" w:eastAsia="宋体" w:cs="宋体"/>
                <w:spacing w:val="5"/>
                <w:sz w:val="20"/>
                <w:szCs w:val="20"/>
                <w:highlight w:val="none"/>
              </w:rPr>
              <w:t>元</w:t>
            </w:r>
            <w:r>
              <w:rPr>
                <w:rFonts w:ascii="Times New Roman" w:hAnsi="Times New Roman" w:eastAsia="Times New Roman" w:cs="Times New Roman"/>
                <w:spacing w:val="5"/>
                <w:sz w:val="20"/>
                <w:szCs w:val="20"/>
                <w:highlight w:val="none"/>
              </w:rPr>
              <w:t>/</w:t>
            </w:r>
            <w:r>
              <w:rPr>
                <w:rFonts w:ascii="宋体" w:hAnsi="宋体" w:eastAsia="宋体" w:cs="宋体"/>
                <w:spacing w:val="5"/>
                <w:sz w:val="20"/>
                <w:szCs w:val="20"/>
                <w:highlight w:val="none"/>
              </w:rPr>
              <w:t>人 ·天扣除违约金；其他管理人员没有按时进</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场</w:t>
            </w:r>
            <w:r>
              <w:rPr>
                <w:rFonts w:ascii="宋体" w:hAnsi="宋体" w:eastAsia="宋体" w:cs="宋体"/>
                <w:spacing w:val="15"/>
                <w:sz w:val="20"/>
                <w:szCs w:val="20"/>
                <w:highlight w:val="none"/>
              </w:rPr>
              <w:t>，</w:t>
            </w:r>
            <w:r>
              <w:rPr>
                <w:rFonts w:ascii="宋体" w:hAnsi="宋体" w:eastAsia="宋体" w:cs="宋体"/>
                <w:spacing w:val="11"/>
                <w:sz w:val="20"/>
                <w:szCs w:val="20"/>
                <w:highlight w:val="none"/>
              </w:rPr>
              <w:t>或进场后未经总监办主任 (或设驻地办的驻地办主任) 和承包人项目经理批</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准又离开工地，发包人将按 </w:t>
            </w:r>
            <w:r>
              <w:rPr>
                <w:rFonts w:ascii="Times New Roman" w:hAnsi="Times New Roman" w:eastAsia="Times New Roman" w:cs="Times New Roman"/>
                <w:spacing w:val="3"/>
                <w:sz w:val="20"/>
                <w:szCs w:val="20"/>
                <w:highlight w:val="none"/>
              </w:rPr>
              <w:t xml:space="preserve">5000 </w:t>
            </w:r>
            <w:r>
              <w:rPr>
                <w:rFonts w:ascii="宋体" w:hAnsi="宋体" w:eastAsia="宋体" w:cs="宋体"/>
                <w:spacing w:val="3"/>
                <w:sz w:val="20"/>
                <w:szCs w:val="20"/>
                <w:highlight w:val="none"/>
              </w:rPr>
              <w:t>元</w:t>
            </w:r>
            <w:r>
              <w:rPr>
                <w:rFonts w:ascii="Times New Roman" w:hAnsi="Times New Roman" w:eastAsia="Times New Roman" w:cs="Times New Roman"/>
                <w:spacing w:val="3"/>
                <w:sz w:val="20"/>
                <w:szCs w:val="20"/>
                <w:highlight w:val="none"/>
              </w:rPr>
              <w:t>/</w:t>
            </w:r>
            <w:r>
              <w:rPr>
                <w:rFonts w:ascii="宋体" w:hAnsi="宋体" w:eastAsia="宋体" w:cs="宋体"/>
                <w:spacing w:val="3"/>
                <w:sz w:val="20"/>
                <w:szCs w:val="20"/>
                <w:highlight w:val="none"/>
              </w:rPr>
              <w:t>人 ·天扣除违约金，直至缺员进场为止</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根据 </w:t>
            </w:r>
            <w:r>
              <w:rPr>
                <w:rFonts w:ascii="宋体" w:hAnsi="宋体" w:eastAsia="宋体" w:cs="宋体"/>
                <w:spacing w:val="20"/>
                <w:sz w:val="20"/>
                <w:szCs w:val="20"/>
                <w:highlight w:val="none"/>
              </w:rPr>
              <w:t>本</w:t>
            </w:r>
            <w:r>
              <w:rPr>
                <w:rFonts w:ascii="宋体" w:hAnsi="宋体" w:eastAsia="宋体" w:cs="宋体"/>
                <w:spacing w:val="17"/>
                <w:sz w:val="20"/>
                <w:szCs w:val="20"/>
                <w:highlight w:val="none"/>
              </w:rPr>
              <w:t>项</w:t>
            </w:r>
            <w:r>
              <w:rPr>
                <w:rFonts w:ascii="宋体" w:hAnsi="宋体" w:eastAsia="宋体" w:cs="宋体"/>
                <w:spacing w:val="10"/>
                <w:sz w:val="20"/>
                <w:szCs w:val="20"/>
                <w:highlight w:val="none"/>
              </w:rPr>
              <w:t>规定扣除的违约金累计不得超过签约合同价的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5B91A0DF">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21"/>
                <w:sz w:val="20"/>
                <w:szCs w:val="20"/>
                <w:highlight w:val="none"/>
              </w:rPr>
              <w:t>承</w:t>
            </w:r>
            <w:r>
              <w:rPr>
                <w:rFonts w:ascii="宋体" w:hAnsi="宋体" w:eastAsia="宋体" w:cs="宋体"/>
                <w:spacing w:val="11"/>
                <w:sz w:val="20"/>
                <w:szCs w:val="20"/>
                <w:highlight w:val="none"/>
              </w:rPr>
              <w:t>包人按照监理人规定进场的项目经理、项目总工及其他管理人员每人每月在</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岗时间不得少于 </w:t>
            </w:r>
            <w:r>
              <w:rPr>
                <w:rFonts w:ascii="Times New Roman" w:hAnsi="Times New Roman" w:eastAsia="Times New Roman" w:cs="Times New Roman"/>
                <w:spacing w:val="2"/>
                <w:sz w:val="20"/>
                <w:szCs w:val="20"/>
                <w:highlight w:val="none"/>
              </w:rPr>
              <w:t xml:space="preserve">22 </w:t>
            </w:r>
            <w:r>
              <w:rPr>
                <w:rFonts w:ascii="宋体" w:hAnsi="宋体" w:eastAsia="宋体" w:cs="宋体"/>
                <w:spacing w:val="2"/>
                <w:sz w:val="20"/>
                <w:szCs w:val="20"/>
                <w:highlight w:val="none"/>
              </w:rPr>
              <w:t>天，否则</w:t>
            </w:r>
            <w:r>
              <w:rPr>
                <w:rFonts w:ascii="宋体" w:hAnsi="宋体" w:eastAsia="宋体" w:cs="宋体"/>
                <w:spacing w:val="1"/>
                <w:sz w:val="20"/>
                <w:szCs w:val="20"/>
                <w:highlight w:val="none"/>
              </w:rPr>
              <w:t xml:space="preserve">发包人将对项目经理、项目总工按 </w:t>
            </w:r>
            <w:r>
              <w:rPr>
                <w:rFonts w:ascii="Times New Roman" w:hAnsi="Times New Roman" w:eastAsia="Times New Roman" w:cs="Times New Roman"/>
                <w:spacing w:val="1"/>
                <w:sz w:val="20"/>
                <w:szCs w:val="20"/>
                <w:highlight w:val="none"/>
              </w:rPr>
              <w:t xml:space="preserve">10000 </w:t>
            </w:r>
            <w:r>
              <w:rPr>
                <w:rFonts w:ascii="宋体" w:hAnsi="宋体" w:eastAsia="宋体" w:cs="宋体"/>
                <w:spacing w:val="1"/>
                <w:sz w:val="20"/>
                <w:szCs w:val="20"/>
                <w:highlight w:val="none"/>
              </w:rPr>
              <w:t>元</w:t>
            </w:r>
            <w:r>
              <w:rPr>
                <w:rFonts w:ascii="Times New Roman" w:hAnsi="Times New Roman" w:eastAsia="Times New Roman" w:cs="Times New Roman"/>
                <w:spacing w:val="1"/>
                <w:sz w:val="20"/>
                <w:szCs w:val="20"/>
                <w:highlight w:val="none"/>
              </w:rPr>
              <w:t>/</w:t>
            </w:r>
            <w:r>
              <w:rPr>
                <w:rFonts w:ascii="宋体" w:hAnsi="宋体" w:eastAsia="宋体" w:cs="宋体"/>
                <w:spacing w:val="1"/>
                <w:sz w:val="20"/>
                <w:szCs w:val="20"/>
                <w:highlight w:val="none"/>
              </w:rPr>
              <w:t>人 ·天扣</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除违约金，对其他管理人员按</w:t>
            </w:r>
            <w:r>
              <w:rPr>
                <w:rFonts w:ascii="宋体" w:hAnsi="宋体" w:eastAsia="宋体" w:cs="宋体"/>
                <w:spacing w:val="3"/>
                <w:sz w:val="20"/>
                <w:szCs w:val="20"/>
                <w:highlight w:val="none"/>
              </w:rPr>
              <w:t xml:space="preserve"> </w:t>
            </w:r>
            <w:r>
              <w:rPr>
                <w:rFonts w:ascii="Times New Roman" w:hAnsi="Times New Roman" w:eastAsia="Times New Roman" w:cs="Times New Roman"/>
                <w:spacing w:val="2"/>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w:t>
            </w:r>
            <w:r>
              <w:rPr>
                <w:rFonts w:ascii="宋体" w:hAnsi="宋体" w:eastAsia="宋体" w:cs="宋体"/>
                <w:sz w:val="20"/>
                <w:szCs w:val="20"/>
                <w:highlight w:val="none"/>
              </w:rPr>
              <w:t xml:space="preserve"> </w:t>
            </w:r>
            <w:r>
              <w:rPr>
                <w:rFonts w:ascii="宋体" w:hAnsi="宋体" w:eastAsia="宋体" w:cs="宋体"/>
                <w:spacing w:val="20"/>
                <w:sz w:val="20"/>
                <w:szCs w:val="20"/>
                <w:highlight w:val="none"/>
              </w:rPr>
              <w:t>约</w:t>
            </w:r>
            <w:r>
              <w:rPr>
                <w:rFonts w:ascii="宋体" w:hAnsi="宋体" w:eastAsia="宋体" w:cs="宋体"/>
                <w:spacing w:val="11"/>
                <w:sz w:val="20"/>
                <w:szCs w:val="20"/>
                <w:highlight w:val="none"/>
              </w:rPr>
              <w:t>金</w:t>
            </w:r>
            <w:r>
              <w:rPr>
                <w:rFonts w:ascii="宋体" w:hAnsi="宋体" w:eastAsia="宋体" w:cs="宋体"/>
                <w:spacing w:val="10"/>
                <w:sz w:val="20"/>
                <w:szCs w:val="20"/>
                <w:highlight w:val="none"/>
              </w:rPr>
              <w:t>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3334F9BB">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 xml:space="preserve">承包人按照监理人规定进场的每个专业岗位人员同时离开工地人数不得超过 </w:t>
            </w: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4"/>
                <w:sz w:val="20"/>
                <w:szCs w:val="20"/>
                <w:highlight w:val="none"/>
              </w:rPr>
              <w:t xml:space="preserve">人，否则发包人将按 </w:t>
            </w:r>
            <w:r>
              <w:rPr>
                <w:rFonts w:ascii="Times New Roman" w:hAnsi="Times New Roman" w:eastAsia="Times New Roman" w:cs="Times New Roman"/>
                <w:spacing w:val="4"/>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·天扣除违约金。根据本项规定扣除的违约金累计</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不</w:t>
            </w:r>
            <w:r>
              <w:rPr>
                <w:rFonts w:ascii="宋体" w:hAnsi="宋体" w:eastAsia="宋体" w:cs="宋体"/>
                <w:spacing w:val="11"/>
                <w:sz w:val="20"/>
                <w:szCs w:val="20"/>
                <w:highlight w:val="none"/>
              </w:rPr>
              <w:t>得超过签约合同价的</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w:t>
            </w:r>
          </w:p>
          <w:p w14:paraId="1B641FA5">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 xml:space="preserve">) 项目经理每更换一人次将向发包人提交违约金，违约金金额按 </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20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100 </w:t>
            </w:r>
            <w:r>
              <w:rPr>
                <w:rFonts w:ascii="宋体" w:hAnsi="宋体" w:eastAsia="宋体" w:cs="宋体"/>
                <w:spacing w:val="3"/>
                <w:sz w:val="20"/>
                <w:szCs w:val="20"/>
                <w:highlight w:val="none"/>
              </w:rPr>
              <w:t>万。</w:t>
            </w:r>
          </w:p>
          <w:p w14:paraId="4BB6E017">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 xml:space="preserve">) 项目总工每更换一人次将向发包人提交违约金，违约金金额按 </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w:t>
            </w:r>
            <w:r>
              <w:rPr>
                <w:rFonts w:ascii="宋体" w:hAnsi="宋体" w:eastAsia="宋体" w:cs="宋体"/>
                <w:spacing w:val="4"/>
                <w:sz w:val="20"/>
                <w:szCs w:val="20"/>
                <w:highlight w:val="none"/>
              </w:rPr>
              <w:t>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15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80 </w:t>
            </w:r>
            <w:r>
              <w:rPr>
                <w:rFonts w:ascii="宋体" w:hAnsi="宋体" w:eastAsia="宋体" w:cs="宋体"/>
                <w:spacing w:val="3"/>
                <w:sz w:val="20"/>
                <w:szCs w:val="20"/>
                <w:highlight w:val="none"/>
              </w:rPr>
              <w:t>万。</w:t>
            </w:r>
          </w:p>
          <w:p w14:paraId="649EB82C">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2"/>
                <w:sz w:val="20"/>
                <w:szCs w:val="20"/>
                <w:highlight w:val="none"/>
              </w:rPr>
              <w:t>(</w:t>
            </w:r>
            <w:r>
              <w:rPr>
                <w:rFonts w:ascii="Times New Roman" w:hAnsi="Times New Roman" w:eastAsia="Times New Roman" w:cs="Times New Roman"/>
                <w:spacing w:val="10"/>
                <w:sz w:val="20"/>
                <w:szCs w:val="20"/>
                <w:highlight w:val="none"/>
              </w:rPr>
              <w:t>4</w:t>
            </w:r>
            <w:r>
              <w:rPr>
                <w:rFonts w:ascii="宋体" w:hAnsi="宋体" w:eastAsia="宋体" w:cs="宋体"/>
                <w:spacing w:val="6"/>
                <w:sz w:val="20"/>
                <w:szCs w:val="20"/>
                <w:highlight w:val="none"/>
              </w:rPr>
              <w:t>)  由于承包人自身原因造成其进场的人员的替换，将按照本项 (</w:t>
            </w: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 、  (</w:t>
            </w:r>
            <w:r>
              <w:rPr>
                <w:rFonts w:ascii="Times New Roman" w:hAnsi="Times New Roman" w:eastAsia="Times New Roman" w:cs="Times New Roman"/>
                <w:spacing w:val="6"/>
                <w:sz w:val="20"/>
                <w:szCs w:val="20"/>
                <w:highlight w:val="none"/>
              </w:rPr>
              <w:t>3</w:t>
            </w:r>
            <w:r>
              <w:rPr>
                <w:rFonts w:ascii="宋体" w:hAnsi="宋体" w:eastAsia="宋体" w:cs="宋体"/>
                <w:spacing w:val="6"/>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目的规定交纳违约金； 由于相关人员不能胜任本职工作、行为不端或玩忽职守</w:t>
            </w:r>
            <w:r>
              <w:rPr>
                <w:rFonts w:ascii="宋体" w:hAnsi="宋体" w:eastAsia="宋体" w:cs="宋体"/>
                <w:spacing w:val="7"/>
                <w:sz w:val="20"/>
                <w:szCs w:val="20"/>
                <w:highlight w:val="none"/>
              </w:rPr>
              <w:t>而</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被监理人按合同条款第 </w:t>
            </w:r>
            <w:r>
              <w:rPr>
                <w:rFonts w:ascii="Times New Roman" w:hAnsi="Times New Roman" w:eastAsia="Times New Roman" w:cs="Times New Roman"/>
                <w:spacing w:val="4"/>
                <w:sz w:val="20"/>
                <w:szCs w:val="20"/>
                <w:highlight w:val="none"/>
              </w:rPr>
              <w:t xml:space="preserve">4.7 </w:t>
            </w:r>
            <w:r>
              <w:rPr>
                <w:rFonts w:ascii="宋体" w:hAnsi="宋体" w:eastAsia="宋体" w:cs="宋体"/>
                <w:spacing w:val="2"/>
                <w:sz w:val="20"/>
                <w:szCs w:val="20"/>
                <w:highlight w:val="none"/>
              </w:rPr>
              <w:t>款规定要求撤换的，除按照本项 (</w:t>
            </w:r>
            <w:r>
              <w:rPr>
                <w:rFonts w:ascii="Times New Roman" w:hAnsi="Times New Roman" w:eastAsia="Times New Roman" w:cs="Times New Roman"/>
                <w:spacing w:val="2"/>
                <w:sz w:val="20"/>
                <w:szCs w:val="20"/>
                <w:highlight w:val="none"/>
              </w:rPr>
              <w:t>2</w:t>
            </w:r>
            <w:r>
              <w:rPr>
                <w:rFonts w:ascii="宋体" w:hAnsi="宋体" w:eastAsia="宋体" w:cs="宋体"/>
                <w:spacing w:val="2"/>
                <w:sz w:val="20"/>
                <w:szCs w:val="20"/>
                <w:highlight w:val="none"/>
              </w:rPr>
              <w:t>) 、  (</w:t>
            </w:r>
            <w:r>
              <w:rPr>
                <w:rFonts w:ascii="Times New Roman" w:hAnsi="Times New Roman" w:eastAsia="Times New Roman" w:cs="Times New Roman"/>
                <w:spacing w:val="2"/>
                <w:sz w:val="20"/>
                <w:szCs w:val="20"/>
                <w:highlight w:val="none"/>
              </w:rPr>
              <w:t>3</w:t>
            </w:r>
            <w:r>
              <w:rPr>
                <w:rFonts w:ascii="宋体" w:hAnsi="宋体" w:eastAsia="宋体" w:cs="宋体"/>
                <w:spacing w:val="2"/>
                <w:sz w:val="20"/>
                <w:szCs w:val="20"/>
                <w:highlight w:val="none"/>
              </w:rPr>
              <w:t>) 目的规定</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交</w:t>
            </w:r>
            <w:r>
              <w:rPr>
                <w:rFonts w:ascii="宋体" w:hAnsi="宋体" w:eastAsia="宋体" w:cs="宋体"/>
                <w:spacing w:val="7"/>
                <w:sz w:val="20"/>
                <w:szCs w:val="20"/>
                <w:highlight w:val="none"/>
              </w:rPr>
              <w:t xml:space="preserve">纳违约金外，项目经理或项目总工每更换一人次还应向发包人另行支付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的违</w:t>
            </w:r>
            <w:r>
              <w:rPr>
                <w:rFonts w:ascii="宋体" w:hAnsi="宋体" w:eastAsia="宋体" w:cs="宋体"/>
                <w:spacing w:val="13"/>
                <w:sz w:val="20"/>
                <w:szCs w:val="20"/>
                <w:highlight w:val="none"/>
              </w:rPr>
              <w:t>约</w:t>
            </w:r>
            <w:r>
              <w:rPr>
                <w:rFonts w:ascii="宋体" w:hAnsi="宋体" w:eastAsia="宋体" w:cs="宋体"/>
                <w:spacing w:val="7"/>
                <w:sz w:val="20"/>
                <w:szCs w:val="20"/>
                <w:highlight w:val="none"/>
              </w:rPr>
              <w:t xml:space="preserve">金，其他管理人员每更换一人次还应向发包人另行支付 </w:t>
            </w:r>
            <w:r>
              <w:rPr>
                <w:rFonts w:ascii="Times New Roman" w:hAnsi="Times New Roman" w:eastAsia="Times New Roman" w:cs="Times New Roman"/>
                <w:spacing w:val="7"/>
                <w:sz w:val="20"/>
                <w:szCs w:val="20"/>
                <w:highlight w:val="none"/>
              </w:rPr>
              <w:t xml:space="preserve">5 </w:t>
            </w:r>
            <w:r>
              <w:rPr>
                <w:rFonts w:ascii="宋体" w:hAnsi="宋体" w:eastAsia="宋体" w:cs="宋体"/>
                <w:spacing w:val="7"/>
                <w:sz w:val="20"/>
                <w:szCs w:val="20"/>
                <w:highlight w:val="none"/>
              </w:rPr>
              <w:t>万元的违约金。</w:t>
            </w:r>
          </w:p>
          <w:p w14:paraId="7D314498">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5</w:t>
            </w:r>
            <w:r>
              <w:rPr>
                <w:rFonts w:ascii="宋体" w:hAnsi="宋体" w:eastAsia="宋体" w:cs="宋体"/>
                <w:spacing w:val="13"/>
                <w:sz w:val="20"/>
                <w:szCs w:val="20"/>
                <w:highlight w:val="none"/>
              </w:rPr>
              <w:t>)  承包人在监理人规定的截止日前，合同谈判期间承包人所承诺的主要机</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械及</w:t>
            </w:r>
            <w:r>
              <w:rPr>
                <w:rFonts w:ascii="宋体" w:hAnsi="宋体" w:eastAsia="宋体" w:cs="宋体"/>
                <w:spacing w:val="11"/>
                <w:sz w:val="20"/>
                <w:szCs w:val="20"/>
                <w:highlight w:val="none"/>
              </w:rPr>
              <w:t>试</w:t>
            </w:r>
            <w:r>
              <w:rPr>
                <w:rFonts w:ascii="宋体" w:hAnsi="宋体" w:eastAsia="宋体" w:cs="宋体"/>
                <w:spacing w:val="9"/>
                <w:sz w:val="20"/>
                <w:szCs w:val="20"/>
                <w:highlight w:val="none"/>
              </w:rPr>
              <w:t xml:space="preserve">验、测量设备 (如有) 不能按时进场，每迟到 </w:t>
            </w:r>
            <w:r>
              <w:rPr>
                <w:rFonts w:ascii="Times New Roman" w:hAnsi="Times New Roman" w:eastAsia="Times New Roman" w:cs="Times New Roman"/>
                <w:spacing w:val="9"/>
                <w:sz w:val="20"/>
                <w:szCs w:val="20"/>
                <w:highlight w:val="none"/>
              </w:rPr>
              <w:t xml:space="preserve">1 </w:t>
            </w:r>
            <w:r>
              <w:rPr>
                <w:rFonts w:ascii="宋体" w:hAnsi="宋体" w:eastAsia="宋体" w:cs="宋体"/>
                <w:spacing w:val="9"/>
                <w:sz w:val="20"/>
                <w:szCs w:val="20"/>
                <w:highlight w:val="none"/>
              </w:rPr>
              <w:t>天，发包人可按照该设备</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的</w:t>
            </w:r>
            <w:r>
              <w:rPr>
                <w:rFonts w:ascii="宋体" w:hAnsi="宋体" w:eastAsia="宋体" w:cs="宋体"/>
                <w:spacing w:val="16"/>
                <w:sz w:val="20"/>
                <w:szCs w:val="20"/>
                <w:highlight w:val="none"/>
              </w:rPr>
              <w:t>台</w:t>
            </w:r>
            <w:r>
              <w:rPr>
                <w:rFonts w:ascii="宋体" w:hAnsi="宋体" w:eastAsia="宋体" w:cs="宋体"/>
                <w:spacing w:val="11"/>
                <w:sz w:val="20"/>
                <w:szCs w:val="20"/>
                <w:highlight w:val="none"/>
              </w:rPr>
              <w:t>班费 (以交通运输部现行《预算定额》为准) 的三倍扣除违约金，直到设备</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进</w:t>
            </w:r>
            <w:r>
              <w:rPr>
                <w:rFonts w:ascii="宋体" w:hAnsi="宋体" w:eastAsia="宋体" w:cs="宋体"/>
                <w:spacing w:val="6"/>
                <w:sz w:val="20"/>
                <w:szCs w:val="20"/>
                <w:highlight w:val="none"/>
              </w:rPr>
              <w:t>场为止。</w:t>
            </w:r>
          </w:p>
          <w:p w14:paraId="470A9305">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0"/>
                <w:sz w:val="20"/>
                <w:szCs w:val="20"/>
                <w:highlight w:val="none"/>
              </w:rPr>
              <w:t>6</w:t>
            </w:r>
            <w:r>
              <w:rPr>
                <w:rFonts w:ascii="宋体" w:hAnsi="宋体" w:eastAsia="宋体" w:cs="宋体"/>
                <w:spacing w:val="10"/>
                <w:sz w:val="20"/>
                <w:szCs w:val="20"/>
                <w:highlight w:val="none"/>
              </w:rPr>
              <w:t>)  在工程实施期间，未经监理人批准，承包人进场的施工机械和材料试验、</w:t>
            </w:r>
            <w:r>
              <w:rPr>
                <w:rFonts w:ascii="宋体" w:hAnsi="宋体" w:eastAsia="宋体" w:cs="宋体"/>
                <w:spacing w:val="13"/>
                <w:position w:val="14"/>
                <w:sz w:val="20"/>
                <w:szCs w:val="20"/>
                <w:highlight w:val="none"/>
              </w:rPr>
              <w:t>质</w:t>
            </w:r>
            <w:r>
              <w:rPr>
                <w:rFonts w:ascii="宋体" w:hAnsi="宋体" w:eastAsia="宋体" w:cs="宋体"/>
                <w:spacing w:val="12"/>
                <w:position w:val="14"/>
                <w:sz w:val="20"/>
                <w:szCs w:val="20"/>
                <w:highlight w:val="none"/>
              </w:rPr>
              <w:t>检仪器设备撤离现场，发包人可按该设备的重置价值从工程期中支付款中扣除</w:t>
            </w:r>
          </w:p>
          <w:p w14:paraId="1206D383">
            <w:pPr>
              <w:spacing w:line="369" w:lineRule="auto"/>
              <w:ind w:left="109" w:right="102" w:firstLine="236"/>
              <w:rPr>
                <w:rFonts w:ascii="宋体" w:hAnsi="宋体" w:eastAsia="宋体" w:cs="宋体"/>
                <w:sz w:val="20"/>
                <w:szCs w:val="20"/>
                <w:highlight w:val="none"/>
              </w:rPr>
            </w:pPr>
            <w:r>
              <w:rPr>
                <w:rFonts w:ascii="宋体" w:hAnsi="宋体" w:eastAsia="宋体" w:cs="宋体"/>
                <w:spacing w:val="5"/>
                <w:sz w:val="20"/>
                <w:szCs w:val="20"/>
                <w:highlight w:val="none"/>
              </w:rPr>
              <w:t>违约金。</w:t>
            </w:r>
          </w:p>
          <w:p w14:paraId="49F1E643">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8"/>
                <w:sz w:val="20"/>
                <w:szCs w:val="20"/>
                <w:highlight w:val="none"/>
              </w:rPr>
              <w:t>7</w:t>
            </w:r>
            <w:r>
              <w:rPr>
                <w:rFonts w:ascii="宋体" w:hAnsi="宋体" w:eastAsia="宋体" w:cs="宋体"/>
                <w:spacing w:val="9"/>
                <w:sz w:val="20"/>
                <w:szCs w:val="20"/>
                <w:highlight w:val="none"/>
              </w:rPr>
              <w:t xml:space="preserve">)  在施工期间，承包人若违反施工操作及管理程序，则按 </w:t>
            </w:r>
            <w:r>
              <w:rPr>
                <w:rFonts w:ascii="Times New Roman" w:hAnsi="Times New Roman" w:eastAsia="Times New Roman" w:cs="Times New Roman"/>
                <w:spacing w:val="9"/>
                <w:sz w:val="20"/>
                <w:szCs w:val="20"/>
                <w:highlight w:val="none"/>
              </w:rPr>
              <w:t xml:space="preserve">5 </w:t>
            </w:r>
            <w:r>
              <w:rPr>
                <w:rFonts w:ascii="宋体" w:hAnsi="宋体" w:eastAsia="宋体" w:cs="宋体"/>
                <w:spacing w:val="9"/>
                <w:sz w:val="20"/>
                <w:szCs w:val="20"/>
                <w:highlight w:val="none"/>
              </w:rPr>
              <w:t>万元</w:t>
            </w:r>
            <w:r>
              <w:rPr>
                <w:rFonts w:ascii="Times New Roman" w:hAnsi="Times New Roman" w:eastAsia="Times New Roman" w:cs="Times New Roman"/>
                <w:spacing w:val="9"/>
                <w:sz w:val="20"/>
                <w:szCs w:val="20"/>
                <w:highlight w:val="none"/>
              </w:rPr>
              <w:t>/</w:t>
            </w:r>
            <w:r>
              <w:rPr>
                <w:rFonts w:ascii="宋体" w:hAnsi="宋体" w:eastAsia="宋体" w:cs="宋体"/>
                <w:spacing w:val="9"/>
                <w:sz w:val="20"/>
                <w:szCs w:val="20"/>
                <w:highlight w:val="none"/>
              </w:rPr>
              <w:t>次标准扣</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除</w:t>
            </w:r>
            <w:r>
              <w:rPr>
                <w:rFonts w:ascii="宋体" w:hAnsi="宋体" w:eastAsia="宋体" w:cs="宋体"/>
                <w:spacing w:val="6"/>
                <w:sz w:val="20"/>
                <w:szCs w:val="20"/>
                <w:highlight w:val="none"/>
              </w:rPr>
              <w:t>承包人的违约金。</w:t>
            </w:r>
          </w:p>
          <w:p w14:paraId="2648E283">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8</w:t>
            </w:r>
            <w:r>
              <w:rPr>
                <w:rFonts w:ascii="宋体" w:hAnsi="宋体" w:eastAsia="宋体" w:cs="宋体"/>
                <w:spacing w:val="13"/>
                <w:sz w:val="20"/>
                <w:szCs w:val="20"/>
                <w:highlight w:val="none"/>
              </w:rPr>
              <w:t>)  承包人在施工期间如果在各种报表及检查试验记录中自己作假或诱导监</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理</w:t>
            </w:r>
            <w:r>
              <w:rPr>
                <w:rFonts w:ascii="宋体" w:hAnsi="宋体" w:eastAsia="宋体" w:cs="宋体"/>
                <w:spacing w:val="5"/>
                <w:sz w:val="20"/>
                <w:szCs w:val="20"/>
                <w:highlight w:val="none"/>
              </w:rPr>
              <w:t xml:space="preserve">人作假，发包人可按每次 </w:t>
            </w:r>
            <w:r>
              <w:rPr>
                <w:rFonts w:ascii="Times New Roman" w:hAnsi="Times New Roman" w:eastAsia="Times New Roman" w:cs="Times New Roman"/>
                <w:spacing w:val="5"/>
                <w:sz w:val="20"/>
                <w:szCs w:val="20"/>
                <w:highlight w:val="none"/>
              </w:rPr>
              <w:t xml:space="preserve">1 </w:t>
            </w:r>
            <w:r>
              <w:rPr>
                <w:rFonts w:ascii="宋体" w:hAnsi="宋体" w:eastAsia="宋体" w:cs="宋体"/>
                <w:spacing w:val="5"/>
                <w:sz w:val="20"/>
                <w:szCs w:val="20"/>
                <w:highlight w:val="none"/>
              </w:rPr>
              <w:t>万</w:t>
            </w:r>
            <w:r>
              <w:rPr>
                <w:rFonts w:ascii="Times New Roman" w:hAnsi="Times New Roman" w:eastAsia="Times New Roman" w:cs="Times New Roman"/>
                <w:spacing w:val="5"/>
                <w:sz w:val="20"/>
                <w:szCs w:val="20"/>
                <w:highlight w:val="none"/>
              </w:rPr>
              <w:t xml:space="preserve">~ 10 </w:t>
            </w:r>
            <w:r>
              <w:rPr>
                <w:rFonts w:ascii="宋体" w:hAnsi="宋体" w:eastAsia="宋体" w:cs="宋体"/>
                <w:spacing w:val="5"/>
                <w:sz w:val="20"/>
                <w:szCs w:val="20"/>
                <w:highlight w:val="none"/>
              </w:rPr>
              <w:t>万元的标准扣除承包人的违约金。</w:t>
            </w:r>
          </w:p>
          <w:p w14:paraId="722D5721">
            <w:pPr>
              <w:spacing w:line="369" w:lineRule="auto"/>
              <w:ind w:left="109" w:right="102" w:firstLine="236"/>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9</w:t>
            </w:r>
            <w:r>
              <w:rPr>
                <w:rFonts w:ascii="宋体" w:hAnsi="宋体" w:eastAsia="宋体" w:cs="宋体"/>
                <w:spacing w:val="13"/>
                <w:sz w:val="20"/>
                <w:szCs w:val="20"/>
                <w:highlight w:val="none"/>
              </w:rPr>
              <w:t>)  承包人应无条件接受上级交通主管部门、质量监督部门、发包人监理单</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位</w:t>
            </w:r>
            <w:r>
              <w:rPr>
                <w:rFonts w:ascii="宋体" w:hAnsi="宋体" w:eastAsia="宋体" w:cs="宋体"/>
                <w:spacing w:val="12"/>
                <w:sz w:val="20"/>
                <w:szCs w:val="20"/>
                <w:highlight w:val="none"/>
              </w:rPr>
              <w:t>的质量检查或抽查，如发现承包人出现降低施工标准或偷工减料或出现较大质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量问题</w:t>
            </w:r>
            <w:r>
              <w:rPr>
                <w:rFonts w:ascii="宋体" w:hAnsi="宋体" w:eastAsia="宋体" w:cs="宋体"/>
                <w:spacing w:val="10"/>
                <w:sz w:val="20"/>
                <w:szCs w:val="20"/>
                <w:highlight w:val="none"/>
              </w:rPr>
              <w:t>，</w:t>
            </w:r>
            <w:r>
              <w:rPr>
                <w:rFonts w:ascii="宋体" w:hAnsi="宋体" w:eastAsia="宋体" w:cs="宋体"/>
                <w:spacing w:val="6"/>
                <w:sz w:val="20"/>
                <w:szCs w:val="20"/>
                <w:highlight w:val="none"/>
              </w:rPr>
              <w:t xml:space="preserve">发包人将按每次 </w:t>
            </w:r>
            <w:r>
              <w:rPr>
                <w:rFonts w:ascii="Times New Roman" w:hAnsi="Times New Roman" w:eastAsia="Times New Roman" w:cs="Times New Roman"/>
                <w:spacing w:val="6"/>
                <w:sz w:val="20"/>
                <w:szCs w:val="20"/>
                <w:highlight w:val="none"/>
              </w:rPr>
              <w:t xml:space="preserve">10 </w:t>
            </w:r>
            <w:r>
              <w:rPr>
                <w:rFonts w:ascii="宋体" w:hAnsi="宋体" w:eastAsia="宋体" w:cs="宋体"/>
                <w:spacing w:val="6"/>
                <w:sz w:val="20"/>
                <w:szCs w:val="20"/>
                <w:highlight w:val="none"/>
              </w:rPr>
              <w:t>万元的标准扣除承包人的违约金。</w:t>
            </w:r>
          </w:p>
          <w:p w14:paraId="3E46AA92">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  承包人在施工期间未能做好环境保护工作，使得周边环境遭到破坏或污</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染，经监理人认可后，每次按照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万元的标准扣除承包人的违约金</w:t>
            </w:r>
            <w:r>
              <w:rPr>
                <w:rFonts w:ascii="宋体" w:hAnsi="宋体" w:eastAsia="宋体" w:cs="宋体"/>
                <w:spacing w:val="6"/>
                <w:sz w:val="20"/>
                <w:szCs w:val="20"/>
                <w:highlight w:val="none"/>
              </w:rPr>
              <w:t>。</w:t>
            </w:r>
          </w:p>
          <w:p w14:paraId="56B57D60">
            <w:pPr>
              <w:spacing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11</w:t>
            </w:r>
            <w:r>
              <w:rPr>
                <w:rFonts w:ascii="宋体" w:hAnsi="宋体" w:eastAsia="宋体" w:cs="宋体"/>
                <w:spacing w:val="10"/>
                <w:sz w:val="20"/>
                <w:szCs w:val="20"/>
                <w:highlight w:val="none"/>
              </w:rPr>
              <w:t>)  承包人存在安全问题或有违反安全管理规章制度的情况时，视其情节轻</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重，分别给予承包人通报批评、警告、责令停工等处罚，并可扣处 </w:t>
            </w:r>
            <w:r>
              <w:rPr>
                <w:rFonts w:ascii="Times New Roman" w:hAnsi="Times New Roman" w:eastAsia="Times New Roman" w:cs="Times New Roman"/>
                <w:spacing w:val="4"/>
                <w:sz w:val="20"/>
                <w:szCs w:val="20"/>
                <w:highlight w:val="none"/>
              </w:rPr>
              <w:t xml:space="preserve">1 </w:t>
            </w:r>
            <w:r>
              <w:rPr>
                <w:rFonts w:ascii="宋体" w:hAnsi="宋体" w:eastAsia="宋体" w:cs="宋体"/>
                <w:spacing w:val="4"/>
                <w:sz w:val="20"/>
                <w:szCs w:val="20"/>
                <w:highlight w:val="none"/>
              </w:rPr>
              <w:t>万</w:t>
            </w:r>
            <w:r>
              <w:rPr>
                <w:rFonts w:ascii="Times New Roman" w:hAnsi="Times New Roman" w:eastAsia="Times New Roman" w:cs="Times New Roman"/>
                <w:spacing w:val="4"/>
                <w:sz w:val="20"/>
                <w:szCs w:val="20"/>
                <w:highlight w:val="none"/>
              </w:rPr>
              <w:t xml:space="preserve">~ 10 </w:t>
            </w:r>
            <w:r>
              <w:rPr>
                <w:rFonts w:ascii="宋体" w:hAnsi="宋体" w:eastAsia="宋体" w:cs="宋体"/>
                <w:spacing w:val="4"/>
                <w:sz w:val="20"/>
                <w:szCs w:val="20"/>
                <w:highlight w:val="none"/>
              </w:rPr>
              <w:t>万元</w:t>
            </w:r>
            <w:r>
              <w:rPr>
                <w:rFonts w:ascii="宋体" w:hAnsi="宋体" w:eastAsia="宋体" w:cs="宋体"/>
                <w:spacing w:val="1"/>
                <w:sz w:val="20"/>
                <w:szCs w:val="20"/>
                <w:highlight w:val="none"/>
              </w:rPr>
              <w:t>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违约金。</w:t>
            </w:r>
          </w:p>
          <w:p w14:paraId="4F2B3AB7">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12</w:t>
            </w:r>
            <w:r>
              <w:rPr>
                <w:rFonts w:ascii="宋体" w:hAnsi="宋体" w:eastAsia="宋体" w:cs="宋体"/>
                <w:spacing w:val="10"/>
                <w:sz w:val="20"/>
                <w:szCs w:val="20"/>
                <w:highlight w:val="none"/>
              </w:rPr>
              <w:t>)  承包人应按劳动合同及时发放薪酬，不得因此影响工程的正常进展及发</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人的声誉。因此造成的劳务纠纷，发包人在收到劳动部门的仲裁结果后，有权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根</w:t>
            </w:r>
            <w:r>
              <w:rPr>
                <w:rFonts w:ascii="宋体" w:hAnsi="宋体" w:eastAsia="宋体" w:cs="宋体"/>
                <w:spacing w:val="12"/>
                <w:sz w:val="20"/>
                <w:szCs w:val="20"/>
                <w:highlight w:val="none"/>
              </w:rPr>
              <w:t>据仲裁结果从应付给承包人的工程款中代为扣付。对工程的正常进展及发包人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声誉造成影响的，发包人可以向承包人课以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万元以内的违约金</w:t>
            </w:r>
            <w:r>
              <w:rPr>
                <w:rFonts w:ascii="宋体" w:hAnsi="宋体" w:eastAsia="宋体" w:cs="宋体"/>
                <w:spacing w:val="5"/>
                <w:sz w:val="20"/>
                <w:szCs w:val="20"/>
                <w:highlight w:val="none"/>
              </w:rPr>
              <w:t>。</w:t>
            </w:r>
          </w:p>
          <w:p w14:paraId="5DCE99E5">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13</w:t>
            </w:r>
            <w:r>
              <w:rPr>
                <w:rFonts w:ascii="宋体" w:hAnsi="宋体" w:eastAsia="宋体" w:cs="宋体"/>
                <w:spacing w:val="10"/>
                <w:sz w:val="20"/>
                <w:szCs w:val="20"/>
                <w:highlight w:val="none"/>
              </w:rPr>
              <w:t>)  由于承包人原因导致本工程质量未达到合同约定的目标，将扣除质量保</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 xml:space="preserve">金的 </w:t>
            </w:r>
            <w:r>
              <w:rPr>
                <w:rFonts w:ascii="Times New Roman" w:hAnsi="Times New Roman" w:eastAsia="Times New Roman" w:cs="Times New Roman"/>
                <w:spacing w:val="3"/>
                <w:sz w:val="20"/>
                <w:szCs w:val="20"/>
                <w:highlight w:val="none"/>
              </w:rPr>
              <w:t>20</w:t>
            </w:r>
            <w:r>
              <w:rPr>
                <w:rFonts w:ascii="宋体" w:hAnsi="宋体" w:eastAsia="宋体" w:cs="宋体"/>
                <w:spacing w:val="3"/>
                <w:sz w:val="20"/>
                <w:szCs w:val="20"/>
                <w:highlight w:val="none"/>
              </w:rPr>
              <w:t>％作为违约金。</w:t>
            </w:r>
          </w:p>
          <w:p w14:paraId="338C3BB0">
            <w:pPr>
              <w:spacing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本款提及的所有违约金 (包括由于承包人违约而给发包人造成的费用增加和</w:t>
            </w:r>
            <w:r>
              <w:rPr>
                <w:rFonts w:ascii="宋体" w:hAnsi="宋体" w:eastAsia="宋体" w:cs="宋体"/>
                <w:spacing w:val="9"/>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他损</w:t>
            </w:r>
            <w:r>
              <w:rPr>
                <w:rFonts w:ascii="宋体" w:hAnsi="宋体" w:eastAsia="宋体" w:cs="宋体"/>
                <w:spacing w:val="15"/>
                <w:sz w:val="20"/>
                <w:szCs w:val="20"/>
                <w:highlight w:val="none"/>
              </w:rPr>
              <w:t>失</w:t>
            </w:r>
            <w:r>
              <w:rPr>
                <w:rFonts w:ascii="宋体" w:hAnsi="宋体" w:eastAsia="宋体" w:cs="宋体"/>
                <w:spacing w:val="11"/>
                <w:sz w:val="20"/>
                <w:szCs w:val="20"/>
                <w:highlight w:val="none"/>
              </w:rPr>
              <w:t>，下同) 将从期中支付证书中扣除或通知履约保函开具银行支付，直至通</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过</w:t>
            </w:r>
            <w:r>
              <w:rPr>
                <w:rFonts w:ascii="宋体" w:hAnsi="宋体" w:eastAsia="宋体" w:cs="宋体"/>
                <w:spacing w:val="12"/>
                <w:sz w:val="20"/>
                <w:szCs w:val="20"/>
                <w:highlight w:val="none"/>
              </w:rPr>
              <w:t>诉讼手段向承包人进行追索。所有扣缴的违约金将按照《中华人民共和国企业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所</w:t>
            </w:r>
            <w:r>
              <w:rPr>
                <w:rFonts w:ascii="宋体" w:hAnsi="宋体" w:eastAsia="宋体" w:cs="宋体"/>
                <w:spacing w:val="5"/>
                <w:sz w:val="20"/>
                <w:szCs w:val="20"/>
                <w:highlight w:val="none"/>
              </w:rPr>
              <w:t>得</w:t>
            </w:r>
            <w:r>
              <w:rPr>
                <w:rFonts w:ascii="宋体" w:hAnsi="宋体" w:eastAsia="宋体" w:cs="宋体"/>
                <w:spacing w:val="4"/>
                <w:sz w:val="20"/>
                <w:szCs w:val="20"/>
                <w:highlight w:val="none"/>
              </w:rPr>
              <w:t xml:space="preserve">税法》  (中华人民共和国主席令第 </w:t>
            </w:r>
            <w:r>
              <w:rPr>
                <w:rFonts w:ascii="Times New Roman" w:hAnsi="Times New Roman" w:eastAsia="Times New Roman" w:cs="Times New Roman"/>
                <w:spacing w:val="4"/>
                <w:sz w:val="20"/>
                <w:szCs w:val="20"/>
                <w:highlight w:val="none"/>
              </w:rPr>
              <w:t xml:space="preserve">63 </w:t>
            </w:r>
            <w:r>
              <w:rPr>
                <w:rFonts w:ascii="宋体" w:hAnsi="宋体" w:eastAsia="宋体" w:cs="宋体"/>
                <w:spacing w:val="4"/>
                <w:sz w:val="20"/>
                <w:szCs w:val="20"/>
                <w:highlight w:val="none"/>
              </w:rPr>
              <w:t>号) 、《中华人民共和国企业所得税暂</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行条例》  (中华人民共和国国务院令第 </w:t>
            </w:r>
            <w:r>
              <w:rPr>
                <w:rFonts w:ascii="Times New Roman" w:hAnsi="Times New Roman" w:eastAsia="Times New Roman" w:cs="Times New Roman"/>
                <w:spacing w:val="4"/>
                <w:sz w:val="20"/>
                <w:szCs w:val="20"/>
                <w:highlight w:val="none"/>
              </w:rPr>
              <w:t xml:space="preserve">512 </w:t>
            </w:r>
            <w:r>
              <w:rPr>
                <w:rFonts w:ascii="宋体" w:hAnsi="宋体" w:eastAsia="宋体" w:cs="宋体"/>
                <w:spacing w:val="4"/>
                <w:sz w:val="20"/>
                <w:szCs w:val="20"/>
                <w:highlight w:val="none"/>
              </w:rPr>
              <w:t>号) 、《基本建设财务规则》  (中华</w:t>
            </w:r>
            <w:r>
              <w:rPr>
                <w:rFonts w:ascii="宋体" w:hAnsi="宋体" w:eastAsia="宋体" w:cs="宋体"/>
                <w:spacing w:val="10"/>
                <w:sz w:val="20"/>
                <w:szCs w:val="20"/>
                <w:highlight w:val="none"/>
              </w:rPr>
              <w:t>人民共</w:t>
            </w:r>
            <w:r>
              <w:rPr>
                <w:rFonts w:ascii="宋体" w:hAnsi="宋体" w:eastAsia="宋体" w:cs="宋体"/>
                <w:spacing w:val="8"/>
                <w:sz w:val="20"/>
                <w:szCs w:val="20"/>
                <w:highlight w:val="none"/>
              </w:rPr>
              <w:t>和</w:t>
            </w:r>
            <w:r>
              <w:rPr>
                <w:rFonts w:ascii="宋体" w:hAnsi="宋体" w:eastAsia="宋体" w:cs="宋体"/>
                <w:spacing w:val="5"/>
                <w:sz w:val="20"/>
                <w:szCs w:val="20"/>
                <w:highlight w:val="none"/>
              </w:rPr>
              <w:t xml:space="preserve">国财政部令第 </w:t>
            </w:r>
            <w:r>
              <w:rPr>
                <w:rFonts w:ascii="Times New Roman" w:hAnsi="Times New Roman" w:eastAsia="Times New Roman" w:cs="Times New Roman"/>
                <w:spacing w:val="5"/>
                <w:sz w:val="20"/>
                <w:szCs w:val="20"/>
                <w:highlight w:val="none"/>
              </w:rPr>
              <w:t xml:space="preserve">81 </w:t>
            </w:r>
            <w:r>
              <w:rPr>
                <w:rFonts w:ascii="宋体" w:hAnsi="宋体" w:eastAsia="宋体" w:cs="宋体"/>
                <w:spacing w:val="5"/>
                <w:sz w:val="20"/>
                <w:szCs w:val="20"/>
                <w:highlight w:val="none"/>
              </w:rPr>
              <w:t>号) 的相关规定处理。</w:t>
            </w:r>
          </w:p>
        </w:tc>
      </w:tr>
    </w:tbl>
    <w:p w14:paraId="027CC24F">
      <w:pPr>
        <w:spacing w:line="87" w:lineRule="exact"/>
        <w:rPr>
          <w:rFonts w:ascii="Arial"/>
          <w:sz w:val="7"/>
          <w:highlight w:val="none"/>
        </w:rPr>
      </w:pPr>
    </w:p>
    <w:p w14:paraId="5A73AADB">
      <w:pPr>
        <w:rPr>
          <w:highlight w:val="none"/>
        </w:rPr>
        <w:sectPr>
          <w:headerReference r:id="rId36" w:type="default"/>
          <w:footerReference r:id="rId37" w:type="default"/>
          <w:pgSz w:w="11907" w:h="16840"/>
          <w:pgMar w:top="1200" w:right="1301" w:bottom="1333" w:left="1299" w:header="892" w:footer="1173" w:gutter="0"/>
          <w:cols w:space="720" w:num="1"/>
        </w:sectPr>
      </w:pPr>
    </w:p>
    <w:p w14:paraId="4A5F185E">
      <w:pPr>
        <w:rPr>
          <w:highlight w:val="none"/>
        </w:rPr>
      </w:pPr>
    </w:p>
    <w:p w14:paraId="7068D7D1">
      <w:pPr>
        <w:spacing w:line="103" w:lineRule="auto"/>
        <w:rPr>
          <w:rFonts w:ascii="Arial"/>
          <w:sz w:val="2"/>
          <w:highlight w:val="none"/>
        </w:rPr>
      </w:pPr>
    </w:p>
    <w:tbl>
      <w:tblPr>
        <w:tblStyle w:val="9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55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46C41B4B">
            <w:pPr>
              <w:spacing w:line="335" w:lineRule="auto"/>
              <w:rPr>
                <w:rFonts w:ascii="Arial"/>
                <w:sz w:val="21"/>
                <w:highlight w:val="none"/>
              </w:rPr>
            </w:pPr>
          </w:p>
          <w:p w14:paraId="4E1031AC">
            <w:pPr>
              <w:spacing w:line="335" w:lineRule="auto"/>
              <w:rPr>
                <w:rFonts w:ascii="Arial"/>
                <w:sz w:val="21"/>
                <w:highlight w:val="none"/>
              </w:rPr>
            </w:pPr>
          </w:p>
          <w:p w14:paraId="4B086208">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0</w:t>
            </w:r>
          </w:p>
        </w:tc>
        <w:tc>
          <w:tcPr>
            <w:tcW w:w="1113" w:type="dxa"/>
            <w:vAlign w:val="top"/>
          </w:tcPr>
          <w:p w14:paraId="1C50784E">
            <w:pPr>
              <w:spacing w:line="335" w:lineRule="auto"/>
              <w:rPr>
                <w:rFonts w:ascii="Arial"/>
                <w:sz w:val="21"/>
                <w:highlight w:val="none"/>
              </w:rPr>
            </w:pPr>
          </w:p>
          <w:p w14:paraId="1E83F670">
            <w:pPr>
              <w:spacing w:line="335" w:lineRule="auto"/>
              <w:rPr>
                <w:rFonts w:ascii="Arial"/>
                <w:sz w:val="21"/>
                <w:highlight w:val="none"/>
              </w:rPr>
            </w:pPr>
          </w:p>
          <w:p w14:paraId="5A80077A">
            <w:pPr>
              <w:spacing w:before="58" w:line="198" w:lineRule="auto"/>
              <w:ind w:left="263"/>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5"/>
                <w:sz w:val="20"/>
                <w:szCs w:val="20"/>
                <w:highlight w:val="none"/>
              </w:rPr>
              <w:t>2.2.2.</w:t>
            </w:r>
          </w:p>
        </w:tc>
        <w:tc>
          <w:tcPr>
            <w:tcW w:w="7644" w:type="dxa"/>
            <w:tcBorders>
              <w:right w:val="single" w:color="000000" w:sz="6" w:space="0"/>
            </w:tcBorders>
            <w:vAlign w:val="top"/>
          </w:tcPr>
          <w:p w14:paraId="528AC77F">
            <w:pPr>
              <w:spacing w:before="142" w:line="369" w:lineRule="auto"/>
              <w:ind w:left="109" w:right="102" w:firstLine="238"/>
              <w:rPr>
                <w:rFonts w:ascii="宋体" w:hAnsi="宋体" w:eastAsia="宋体" w:cs="宋体"/>
                <w:sz w:val="20"/>
                <w:szCs w:val="20"/>
                <w:highlight w:val="none"/>
              </w:rPr>
            </w:pPr>
            <w:r>
              <w:rPr>
                <w:rFonts w:ascii="宋体" w:hAnsi="宋体" w:eastAsia="宋体" w:cs="宋体"/>
                <w:spacing w:val="18"/>
                <w:sz w:val="20"/>
                <w:szCs w:val="20"/>
                <w:highlight w:val="none"/>
              </w:rPr>
              <w:t>如</w:t>
            </w:r>
            <w:r>
              <w:rPr>
                <w:rFonts w:ascii="宋体" w:hAnsi="宋体" w:eastAsia="宋体" w:cs="宋体"/>
                <w:spacing w:val="11"/>
                <w:sz w:val="20"/>
                <w:szCs w:val="20"/>
                <w:highlight w:val="none"/>
              </w:rPr>
              <w:t>承包人采用现金形式向发包人提交履约保证金或质量保证金时，发包人无正</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当理</w:t>
            </w:r>
            <w:r>
              <w:rPr>
                <w:rFonts w:ascii="宋体" w:hAnsi="宋体" w:eastAsia="宋体" w:cs="宋体"/>
                <w:spacing w:val="15"/>
                <w:sz w:val="20"/>
                <w:szCs w:val="20"/>
                <w:highlight w:val="none"/>
              </w:rPr>
              <w:t>由</w:t>
            </w:r>
            <w:r>
              <w:rPr>
                <w:rFonts w:ascii="宋体" w:hAnsi="宋体" w:eastAsia="宋体" w:cs="宋体"/>
                <w:spacing w:val="11"/>
                <w:sz w:val="20"/>
                <w:szCs w:val="20"/>
                <w:highlight w:val="none"/>
              </w:rPr>
              <w:t>不按时返还的，发包人应向承包人支付的违约金：</w:t>
            </w:r>
            <w:r>
              <w:rPr>
                <w:rFonts w:ascii="宋体" w:hAnsi="宋体" w:eastAsia="宋体" w:cs="宋体"/>
                <w:spacing w:val="11"/>
                <w:sz w:val="20"/>
                <w:szCs w:val="20"/>
                <w:highlight w:val="none"/>
                <w:u w:val="single" w:color="auto"/>
              </w:rPr>
              <w:t xml:space="preserve">  按照中国人民银行公</w:t>
            </w:r>
            <w:r>
              <w:rPr>
                <w:rFonts w:ascii="宋体" w:hAnsi="宋体" w:eastAsia="宋体" w:cs="宋体"/>
                <w:sz w:val="20"/>
                <w:szCs w:val="20"/>
                <w:highlight w:val="none"/>
              </w:rPr>
              <w:t xml:space="preserve"> </w:t>
            </w:r>
            <w:r>
              <w:rPr>
                <w:rFonts w:ascii="宋体" w:hAnsi="宋体" w:eastAsia="宋体" w:cs="宋体"/>
                <w:spacing w:val="11"/>
                <w:sz w:val="20"/>
                <w:szCs w:val="20"/>
                <w:highlight w:val="none"/>
                <w:u w:val="single" w:color="auto"/>
              </w:rPr>
              <w:t xml:space="preserve">布的一年以内 (含一年) 同期同类金融机构人民币贷款基准利率 (不计复利) </w:t>
            </w:r>
            <w:r>
              <w:rPr>
                <w:rFonts w:ascii="宋体" w:hAnsi="宋体" w:eastAsia="宋体" w:cs="宋体"/>
                <w:spacing w:val="4"/>
                <w:sz w:val="20"/>
                <w:szCs w:val="20"/>
                <w:highlight w:val="none"/>
                <w:u w:val="single" w:color="auto"/>
              </w:rPr>
              <w:t>加</w:t>
            </w:r>
          </w:p>
          <w:p w14:paraId="43141A1B">
            <w:pPr>
              <w:spacing w:line="226" w:lineRule="auto"/>
              <w:ind w:left="109"/>
              <w:rPr>
                <w:rFonts w:ascii="宋体" w:hAnsi="宋体" w:eastAsia="宋体" w:cs="宋体"/>
                <w:sz w:val="20"/>
                <w:szCs w:val="20"/>
                <w:highlight w:val="none"/>
              </w:rPr>
            </w:pPr>
            <w:r>
              <w:rPr>
                <w:rFonts w:ascii="宋体" w:hAnsi="宋体" w:eastAsia="宋体" w:cs="宋体"/>
                <w:spacing w:val="13"/>
                <w:sz w:val="20"/>
                <w:szCs w:val="20"/>
                <w:highlight w:val="none"/>
                <w:u w:val="single" w:color="auto"/>
              </w:rPr>
              <w:t>手</w:t>
            </w:r>
            <w:r>
              <w:rPr>
                <w:rFonts w:ascii="宋体" w:hAnsi="宋体" w:eastAsia="宋体" w:cs="宋体"/>
                <w:spacing w:val="12"/>
                <w:sz w:val="20"/>
                <w:szCs w:val="20"/>
                <w:highlight w:val="none"/>
                <w:u w:val="single" w:color="auto"/>
              </w:rPr>
              <w:t>续费。</w:t>
            </w:r>
          </w:p>
        </w:tc>
      </w:tr>
      <w:tr w14:paraId="386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4E949CD1">
            <w:pPr>
              <w:spacing w:line="273" w:lineRule="auto"/>
              <w:rPr>
                <w:rFonts w:ascii="Arial"/>
                <w:sz w:val="21"/>
                <w:highlight w:val="none"/>
              </w:rPr>
            </w:pPr>
          </w:p>
          <w:p w14:paraId="6183C704">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1</w:t>
            </w:r>
          </w:p>
        </w:tc>
        <w:tc>
          <w:tcPr>
            <w:tcW w:w="1113" w:type="dxa"/>
            <w:vAlign w:val="top"/>
          </w:tcPr>
          <w:p w14:paraId="335E8ED9">
            <w:pPr>
              <w:spacing w:line="273" w:lineRule="auto"/>
              <w:rPr>
                <w:rFonts w:ascii="Arial"/>
                <w:sz w:val="21"/>
                <w:highlight w:val="none"/>
              </w:rPr>
            </w:pPr>
          </w:p>
          <w:p w14:paraId="392B4709">
            <w:pPr>
              <w:spacing w:before="58" w:line="198"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4</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5B0E19EF">
            <w:pPr>
              <w:spacing w:before="143" w:line="227" w:lineRule="auto"/>
              <w:ind w:left="322"/>
              <w:rPr>
                <w:rFonts w:ascii="宋体" w:hAnsi="宋体" w:eastAsia="宋体" w:cs="宋体"/>
                <w:sz w:val="20"/>
                <w:szCs w:val="20"/>
                <w:highlight w:val="none"/>
              </w:rPr>
            </w:pPr>
            <w:r>
              <w:rPr>
                <w:rFonts w:ascii="宋体" w:hAnsi="宋体" w:eastAsia="宋体" w:cs="宋体"/>
                <w:spacing w:val="6"/>
                <w:sz w:val="20"/>
                <w:szCs w:val="20"/>
                <w:highlight w:val="none"/>
              </w:rPr>
              <w:t>争</w:t>
            </w:r>
            <w:r>
              <w:rPr>
                <w:rFonts w:ascii="宋体" w:hAnsi="宋体" w:eastAsia="宋体" w:cs="宋体"/>
                <w:spacing w:val="5"/>
                <w:sz w:val="20"/>
                <w:szCs w:val="20"/>
                <w:highlight w:val="none"/>
              </w:rPr>
              <w:t>议的最终解决方式，规定为：</w:t>
            </w:r>
            <w:r>
              <w:rPr>
                <w:rFonts w:ascii="宋体" w:hAnsi="宋体" w:eastAsia="宋体" w:cs="宋体"/>
                <w:spacing w:val="5"/>
                <w:sz w:val="20"/>
                <w:szCs w:val="20"/>
                <w:highlight w:val="none"/>
                <w:u w:val="single" w:color="auto"/>
              </w:rPr>
              <w:t xml:space="preserve">  仲裁</w:t>
            </w:r>
            <w:r>
              <w:rPr>
                <w:rFonts w:ascii="宋体" w:hAnsi="宋体" w:eastAsia="宋体" w:cs="宋体"/>
                <w:sz w:val="20"/>
                <w:szCs w:val="20"/>
                <w:highlight w:val="none"/>
                <w:u w:val="single" w:color="auto"/>
              </w:rPr>
              <w:t xml:space="preserve">  </w:t>
            </w:r>
          </w:p>
          <w:p w14:paraId="301AF148">
            <w:pPr>
              <w:spacing w:before="155" w:line="224" w:lineRule="auto"/>
              <w:ind w:left="317"/>
              <w:rPr>
                <w:rFonts w:ascii="宋体" w:hAnsi="宋体" w:eastAsia="宋体" w:cs="宋体"/>
                <w:sz w:val="20"/>
                <w:szCs w:val="20"/>
                <w:highlight w:val="none"/>
              </w:rPr>
            </w:pPr>
            <w:r>
              <w:rPr>
                <w:rFonts w:ascii="宋体" w:hAnsi="宋体" w:eastAsia="宋体" w:cs="宋体"/>
                <w:spacing w:val="14"/>
                <w:sz w:val="20"/>
                <w:szCs w:val="20"/>
                <w:highlight w:val="none"/>
              </w:rPr>
              <w:t>采</w:t>
            </w:r>
            <w:r>
              <w:rPr>
                <w:rFonts w:ascii="宋体" w:hAnsi="宋体" w:eastAsia="宋体" w:cs="宋体"/>
                <w:spacing w:val="9"/>
                <w:sz w:val="20"/>
                <w:szCs w:val="20"/>
                <w:highlight w:val="none"/>
              </w:rPr>
              <w:t>用</w:t>
            </w:r>
            <w:r>
              <w:rPr>
                <w:rFonts w:ascii="宋体" w:hAnsi="宋体" w:eastAsia="宋体" w:cs="宋体"/>
                <w:spacing w:val="7"/>
                <w:sz w:val="20"/>
                <w:szCs w:val="20"/>
                <w:highlight w:val="none"/>
              </w:rPr>
              <w:t>仲裁的仲裁委员会名称，规定为：</w:t>
            </w:r>
            <w:r>
              <w:rPr>
                <w:rFonts w:ascii="宋体" w:hAnsi="宋体" w:eastAsia="宋体" w:cs="宋体"/>
                <w:spacing w:val="7"/>
                <w:sz w:val="20"/>
                <w:szCs w:val="20"/>
                <w:highlight w:val="none"/>
                <w:u w:val="single" w:color="auto"/>
              </w:rPr>
              <w:t xml:space="preserve">  发包人所在地仲裁委员会</w:t>
            </w:r>
            <w:r>
              <w:rPr>
                <w:rFonts w:ascii="宋体" w:hAnsi="宋体" w:eastAsia="宋体" w:cs="宋体"/>
                <w:sz w:val="20"/>
                <w:szCs w:val="20"/>
                <w:highlight w:val="none"/>
                <w:u w:val="single" w:color="auto"/>
              </w:rPr>
              <w:t xml:space="preserve">  </w:t>
            </w:r>
          </w:p>
        </w:tc>
      </w:tr>
      <w:tr w14:paraId="4F9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6EB3C068">
            <w:pPr>
              <w:spacing w:before="135"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2</w:t>
            </w:r>
          </w:p>
        </w:tc>
        <w:tc>
          <w:tcPr>
            <w:tcW w:w="1113" w:type="dxa"/>
            <w:vAlign w:val="top"/>
          </w:tcPr>
          <w:p w14:paraId="4C559879">
            <w:pPr>
              <w:spacing w:before="135" w:line="195" w:lineRule="auto"/>
              <w:ind w:left="44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7644" w:type="dxa"/>
            <w:tcBorders>
              <w:right w:val="single" w:color="000000" w:sz="6" w:space="0"/>
            </w:tcBorders>
            <w:vAlign w:val="top"/>
          </w:tcPr>
          <w:p w14:paraId="1F91329C">
            <w:pPr>
              <w:spacing w:before="138" w:line="228" w:lineRule="auto"/>
              <w:ind w:left="114"/>
              <w:rPr>
                <w:rFonts w:ascii="宋体" w:hAnsi="宋体" w:eastAsia="宋体" w:cs="宋体"/>
                <w:sz w:val="20"/>
                <w:szCs w:val="20"/>
                <w:highlight w:val="none"/>
              </w:rPr>
            </w:pPr>
            <w:r>
              <w:rPr>
                <w:rFonts w:ascii="宋体" w:hAnsi="宋体" w:eastAsia="宋体" w:cs="宋体"/>
                <w:spacing w:val="16"/>
                <w:sz w:val="20"/>
                <w:szCs w:val="20"/>
                <w:highlight w:val="none"/>
              </w:rPr>
              <w:t>为加</w:t>
            </w:r>
            <w:r>
              <w:rPr>
                <w:rFonts w:ascii="宋体" w:hAnsi="宋体" w:eastAsia="宋体" w:cs="宋体"/>
                <w:spacing w:val="15"/>
                <w:sz w:val="20"/>
                <w:szCs w:val="20"/>
                <w:highlight w:val="none"/>
              </w:rPr>
              <w:t>强</w:t>
            </w:r>
            <w:r>
              <w:rPr>
                <w:rFonts w:ascii="宋体" w:hAnsi="宋体" w:eastAsia="宋体" w:cs="宋体"/>
                <w:spacing w:val="8"/>
                <w:sz w:val="20"/>
                <w:szCs w:val="20"/>
                <w:highlight w:val="none"/>
              </w:rPr>
              <w:t>安全生产管理工作，规范本工程交通封闭作业行为，在合同执行过程中，</w:t>
            </w:r>
            <w:r>
              <w:rPr>
                <w:rFonts w:ascii="宋体" w:hAnsi="宋体" w:eastAsia="宋体" w:cs="宋体"/>
                <w:spacing w:val="14"/>
                <w:sz w:val="20"/>
                <w:szCs w:val="20"/>
                <w:highlight w:val="none"/>
              </w:rPr>
              <w:t>结</w:t>
            </w:r>
            <w:r>
              <w:rPr>
                <w:rFonts w:ascii="宋体" w:hAnsi="宋体" w:eastAsia="宋体" w:cs="宋体"/>
                <w:spacing w:val="9"/>
                <w:sz w:val="20"/>
                <w:szCs w:val="20"/>
                <w:highlight w:val="none"/>
              </w:rPr>
              <w:t>合项目施工特点，严格按照相关要求开展道路交通封闭施工作业。</w:t>
            </w:r>
          </w:p>
          <w:p w14:paraId="0F674A4F">
            <w:pPr>
              <w:spacing w:before="153" w:line="369"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施</w:t>
            </w:r>
            <w:r>
              <w:rPr>
                <w:rFonts w:ascii="宋体" w:hAnsi="宋体" w:eastAsia="宋体" w:cs="宋体"/>
                <w:spacing w:val="12"/>
                <w:sz w:val="20"/>
                <w:szCs w:val="20"/>
                <w:highlight w:val="none"/>
              </w:rPr>
              <w:t>工结束时，承包人必须将因施工而损坏的路面及附属设施恢复到原有良好状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态</w:t>
            </w:r>
            <w:r>
              <w:rPr>
                <w:rFonts w:ascii="宋体" w:hAnsi="宋体" w:eastAsia="宋体" w:cs="宋体"/>
                <w:spacing w:val="12"/>
                <w:sz w:val="20"/>
                <w:szCs w:val="20"/>
                <w:highlight w:val="none"/>
              </w:rPr>
              <w:t>。及时施划道路标志、标线，确保道路标志、标线的完整有效。拆除安全隔离</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设</w:t>
            </w:r>
            <w:r>
              <w:rPr>
                <w:rFonts w:ascii="宋体" w:hAnsi="宋体" w:eastAsia="宋体" w:cs="宋体"/>
                <w:spacing w:val="12"/>
                <w:sz w:val="20"/>
                <w:szCs w:val="20"/>
                <w:highlight w:val="none"/>
              </w:rPr>
              <w:t>施，并报经所在路域分公司、公安交警大队进行验收合格后，方可撤离现场恢</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复道路交通</w:t>
            </w:r>
            <w:r>
              <w:rPr>
                <w:rFonts w:ascii="宋体" w:hAnsi="宋体" w:eastAsia="宋体" w:cs="宋体"/>
                <w:spacing w:val="5"/>
                <w:sz w:val="20"/>
                <w:szCs w:val="20"/>
                <w:highlight w:val="none"/>
              </w:rPr>
              <w:t>。</w:t>
            </w:r>
          </w:p>
          <w:p w14:paraId="19135BE4">
            <w:pPr>
              <w:spacing w:before="1" w:line="368" w:lineRule="auto"/>
              <w:ind w:left="111" w:right="156" w:firstLine="209"/>
              <w:rPr>
                <w:rFonts w:ascii="宋体" w:hAnsi="宋体" w:eastAsia="宋体" w:cs="宋体"/>
                <w:sz w:val="20"/>
                <w:szCs w:val="20"/>
                <w:highlight w:val="none"/>
              </w:rPr>
            </w:pPr>
            <w:r>
              <w:rPr>
                <w:rFonts w:ascii="宋体" w:hAnsi="宋体" w:eastAsia="宋体" w:cs="宋体"/>
                <w:spacing w:val="20"/>
                <w:sz w:val="20"/>
                <w:szCs w:val="20"/>
                <w:highlight w:val="none"/>
              </w:rPr>
              <w:t>工</w:t>
            </w:r>
            <w:r>
              <w:rPr>
                <w:rFonts w:ascii="宋体" w:hAnsi="宋体" w:eastAsia="宋体" w:cs="宋体"/>
                <w:spacing w:val="17"/>
                <w:sz w:val="20"/>
                <w:szCs w:val="20"/>
                <w:highlight w:val="none"/>
              </w:rPr>
              <w:t>程</w:t>
            </w:r>
            <w:r>
              <w:rPr>
                <w:rFonts w:ascii="宋体" w:hAnsi="宋体" w:eastAsia="宋体" w:cs="宋体"/>
                <w:spacing w:val="10"/>
                <w:sz w:val="20"/>
                <w:szCs w:val="20"/>
                <w:highlight w:val="none"/>
              </w:rPr>
              <w:t>正式开工前，承包人必须向监理及发包人上报详细的交通封闭组织方案，</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经</w:t>
            </w:r>
            <w:r>
              <w:rPr>
                <w:rFonts w:ascii="宋体" w:hAnsi="宋体" w:eastAsia="宋体" w:cs="宋体"/>
                <w:spacing w:val="11"/>
                <w:sz w:val="20"/>
                <w:szCs w:val="20"/>
                <w:highlight w:val="none"/>
              </w:rPr>
              <w:t>发</w:t>
            </w:r>
            <w:r>
              <w:rPr>
                <w:rFonts w:ascii="宋体" w:hAnsi="宋体" w:eastAsia="宋体" w:cs="宋体"/>
                <w:spacing w:val="8"/>
                <w:sz w:val="20"/>
                <w:szCs w:val="20"/>
                <w:highlight w:val="none"/>
              </w:rPr>
              <w:t>包人审核通过后，方可正式施工。</w:t>
            </w:r>
          </w:p>
          <w:p w14:paraId="1297DDAD">
            <w:pPr>
              <w:spacing w:before="2"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包人应充分考虑本项目施工过程中执行上述交通封闭作业要求所需的相关费</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用，且交通封闭规范化作业费用已包含在本合同的相关报价中，发包人将不另行</w:t>
            </w:r>
            <w:r>
              <w:rPr>
                <w:rFonts w:ascii="宋体" w:hAnsi="宋体" w:eastAsia="宋体" w:cs="宋体"/>
                <w:spacing w:val="3"/>
                <w:sz w:val="20"/>
                <w:szCs w:val="20"/>
                <w:highlight w:val="none"/>
              </w:rPr>
              <w:t>支付</w:t>
            </w:r>
            <w:r>
              <w:rPr>
                <w:rFonts w:ascii="宋体" w:hAnsi="宋体" w:eastAsia="宋体" w:cs="宋体"/>
                <w:spacing w:val="2"/>
                <w:sz w:val="20"/>
                <w:szCs w:val="20"/>
                <w:highlight w:val="none"/>
              </w:rPr>
              <w:t>。</w:t>
            </w:r>
          </w:p>
        </w:tc>
      </w:tr>
    </w:tbl>
    <w:p w14:paraId="70CFE16D">
      <w:pPr>
        <w:rPr>
          <w:rFonts w:ascii="Arial"/>
          <w:sz w:val="21"/>
          <w:highlight w:val="none"/>
        </w:rPr>
      </w:pPr>
    </w:p>
    <w:p w14:paraId="3FB581E6">
      <w:pPr>
        <w:rPr>
          <w:highlight w:val="none"/>
        </w:rPr>
        <w:sectPr>
          <w:headerReference r:id="rId38" w:type="default"/>
          <w:footerReference r:id="rId39" w:type="default"/>
          <w:pgSz w:w="11907" w:h="16840"/>
          <w:pgMar w:top="1165" w:right="1301" w:bottom="1333" w:left="1299" w:header="883" w:footer="1173" w:gutter="0"/>
          <w:cols w:space="720" w:num="1"/>
        </w:sectPr>
      </w:pPr>
    </w:p>
    <w:p w14:paraId="5C30DA51">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bookmarkStart w:id="1348" w:name="_Toc939"/>
      <w:r>
        <w:rPr>
          <w:rFonts w:hint="default" w:ascii="Times New Roman" w:hAnsi="Times New Roman" w:eastAsia="黑体" w:cs="Times New Roman"/>
          <w:b w:val="0"/>
          <w:sz w:val="32"/>
          <w:szCs w:val="32"/>
          <w:highlight w:val="none"/>
        </w:rPr>
        <w:t>项目专用合同条款</w:t>
      </w:r>
      <w:bookmarkEnd w:id="1345"/>
      <w:bookmarkEnd w:id="1346"/>
      <w:r>
        <w:rPr>
          <w:rStyle w:val="48"/>
          <w:rFonts w:hint="default" w:ascii="Times New Roman" w:hAnsi="Times New Roman" w:eastAsia="黑体" w:cs="Times New Roman"/>
          <w:b w:val="0"/>
          <w:sz w:val="32"/>
          <w:szCs w:val="32"/>
          <w:highlight w:val="none"/>
        </w:rPr>
        <w:footnoteReference w:id="29"/>
      </w:r>
      <w:bookmarkEnd w:id="1347"/>
      <w:bookmarkEnd w:id="1348"/>
    </w:p>
    <w:p w14:paraId="265825D8">
      <w:pPr>
        <w:pageBreakBefore w:val="0"/>
        <w:kinsoku/>
        <w:wordWrap w:val="0"/>
        <w:bidi w:val="0"/>
        <w:rPr>
          <w:rFonts w:hint="default" w:ascii="Times New Roman" w:hAnsi="Times New Roman" w:cs="Times New Roman"/>
          <w:highlight w:val="none"/>
        </w:rPr>
      </w:pPr>
    </w:p>
    <w:p w14:paraId="24C8A07E">
      <w:pPr>
        <w:pStyle w:val="17"/>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本部分所列的项目专用合同条款是对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中规定必须在项目专用合同条款中明确的内容的集中，招标人编制的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不限于本部分所列内容。</w:t>
      </w:r>
    </w:p>
    <w:p w14:paraId="2C33A9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49" w:name="_Toc12645"/>
      <w:bookmarkStart w:id="1350" w:name="_Toc234833223"/>
      <w:bookmarkStart w:id="1351" w:name="_Toc3467"/>
      <w:bookmarkStart w:id="1352" w:name="_Toc23600"/>
      <w:r>
        <w:rPr>
          <w:rFonts w:hint="default" w:ascii="Times New Roman" w:hAnsi="Times New Roman" w:eastAsia="黑体" w:cs="Times New Roman"/>
          <w:b w:val="0"/>
          <w:sz w:val="24"/>
          <w:szCs w:val="24"/>
          <w:highlight w:val="none"/>
        </w:rPr>
        <w:t>4.1 承包人的一般义务</w:t>
      </w:r>
      <w:bookmarkEnd w:id="1349"/>
      <w:bookmarkEnd w:id="1350"/>
      <w:bookmarkEnd w:id="1351"/>
      <w:bookmarkEnd w:id="1352"/>
    </w:p>
    <w:p w14:paraId="76725C4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3C86BFD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（4）承包人应履行的其他义务：</w:t>
      </w:r>
      <w:r>
        <w:rPr>
          <w:rFonts w:hint="default" w:ascii="Times New Roman" w:hAnsi="Times New Roman" w:cs="Times New Roman"/>
          <w:sz w:val="24"/>
          <w:highlight w:val="none"/>
          <w:u w:val="single"/>
        </w:rPr>
        <w:t xml:space="preserve">                       </w:t>
      </w:r>
    </w:p>
    <w:p w14:paraId="27061D1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53" w:name="_Toc12950"/>
      <w:bookmarkStart w:id="1354" w:name="_Toc20253"/>
      <w:bookmarkStart w:id="1355" w:name="_Toc121"/>
      <w:bookmarkStart w:id="1356" w:name="_Toc234833224"/>
      <w:r>
        <w:rPr>
          <w:rFonts w:hint="default" w:ascii="Times New Roman" w:hAnsi="Times New Roman" w:eastAsia="黑体" w:cs="Times New Roman"/>
          <w:b w:val="0"/>
          <w:sz w:val="24"/>
          <w:szCs w:val="24"/>
          <w:highlight w:val="none"/>
        </w:rPr>
        <w:t>4.11 不利物质条件</w:t>
      </w:r>
      <w:bookmarkEnd w:id="1353"/>
      <w:bookmarkEnd w:id="1354"/>
      <w:bookmarkEnd w:id="1355"/>
      <w:bookmarkEnd w:id="1356"/>
    </w:p>
    <w:p w14:paraId="328C56E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4.11.1 不利物质条件的范围：</w:t>
      </w:r>
      <w:r>
        <w:rPr>
          <w:rFonts w:hint="default" w:ascii="Times New Roman" w:hAnsi="Times New Roman" w:cs="Times New Roman"/>
          <w:sz w:val="24"/>
          <w:highlight w:val="none"/>
          <w:u w:val="single"/>
        </w:rPr>
        <w:t xml:space="preserve">                       </w:t>
      </w:r>
    </w:p>
    <w:p w14:paraId="566378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57" w:name="_Toc234833225"/>
      <w:bookmarkStart w:id="1358" w:name="_Toc9469"/>
      <w:bookmarkStart w:id="1359" w:name="_Toc11536"/>
      <w:bookmarkStart w:id="1360" w:name="_Toc18605"/>
      <w:r>
        <w:rPr>
          <w:rFonts w:hint="default" w:ascii="Times New Roman" w:hAnsi="Times New Roman" w:eastAsia="黑体" w:cs="Times New Roman"/>
          <w:b w:val="0"/>
          <w:sz w:val="24"/>
          <w:szCs w:val="24"/>
          <w:highlight w:val="none"/>
        </w:rPr>
        <w:t>10.1 合同进度计划</w:t>
      </w:r>
      <w:bookmarkEnd w:id="1357"/>
      <w:bookmarkEnd w:id="1358"/>
      <w:bookmarkEnd w:id="1359"/>
      <w:bookmarkEnd w:id="1360"/>
    </w:p>
    <w:p w14:paraId="3B9F3C7C">
      <w:pPr>
        <w:pageBreakBefore w:val="0"/>
        <w:kinsoku/>
        <w:wordWrap w:val="0"/>
        <w:bidi w:val="0"/>
        <w:spacing w:line="38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承包人编制施工方案的内容：</w:t>
      </w:r>
      <w:r>
        <w:rPr>
          <w:rFonts w:hint="default" w:ascii="Times New Roman" w:hAnsi="Times New Roman" w:cs="Times New Roman"/>
          <w:sz w:val="24"/>
          <w:highlight w:val="none"/>
          <w:u w:val="single"/>
        </w:rPr>
        <w:t xml:space="preserve">              </w:t>
      </w:r>
    </w:p>
    <w:p w14:paraId="0CCA47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1" w:name="_Toc24011"/>
      <w:bookmarkStart w:id="1362" w:name="_Toc234833226"/>
      <w:bookmarkStart w:id="1363" w:name="_Toc32019"/>
      <w:bookmarkStart w:id="1364" w:name="_Toc19055"/>
      <w:r>
        <w:rPr>
          <w:rFonts w:hint="default" w:ascii="Times New Roman" w:hAnsi="Times New Roman" w:eastAsia="黑体" w:cs="Times New Roman"/>
          <w:b w:val="0"/>
          <w:sz w:val="24"/>
          <w:szCs w:val="24"/>
          <w:highlight w:val="none"/>
        </w:rPr>
        <w:t>11.4异常恶劣的气候条件</w:t>
      </w:r>
      <w:bookmarkEnd w:id="1361"/>
      <w:bookmarkEnd w:id="1362"/>
      <w:bookmarkEnd w:id="1363"/>
      <w:bookmarkEnd w:id="1364"/>
    </w:p>
    <w:p w14:paraId="20B6E7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异常恶劣的气候条件的范围：</w:t>
      </w:r>
      <w:r>
        <w:rPr>
          <w:rFonts w:hint="default" w:ascii="Times New Roman" w:hAnsi="Times New Roman" w:cs="Times New Roman"/>
          <w:sz w:val="24"/>
          <w:highlight w:val="none"/>
          <w:u w:val="single"/>
        </w:rPr>
        <w:t xml:space="preserve">              </w:t>
      </w:r>
    </w:p>
    <w:p w14:paraId="6CF02C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5" w:name="_Toc10215"/>
      <w:bookmarkStart w:id="1366" w:name="_Toc3031"/>
      <w:bookmarkStart w:id="1367" w:name="_Toc9009"/>
      <w:bookmarkStart w:id="1368" w:name="_Toc234833227"/>
      <w:r>
        <w:rPr>
          <w:rFonts w:hint="default" w:ascii="Times New Roman" w:hAnsi="Times New Roman" w:eastAsia="黑体" w:cs="Times New Roman"/>
          <w:b w:val="0"/>
          <w:sz w:val="24"/>
          <w:szCs w:val="24"/>
          <w:highlight w:val="none"/>
        </w:rPr>
        <w:t>12.1 承包人暂停施工的责任</w:t>
      </w:r>
      <w:bookmarkEnd w:id="1365"/>
      <w:bookmarkEnd w:id="1366"/>
      <w:bookmarkEnd w:id="1367"/>
      <w:bookmarkEnd w:id="1368"/>
    </w:p>
    <w:p w14:paraId="5EF88D50">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12.1 （6）由承包人承担的其他暂停施工：</w:t>
      </w:r>
      <w:r>
        <w:rPr>
          <w:rFonts w:hint="default" w:ascii="Times New Roman" w:hAnsi="Times New Roman" w:cs="Times New Roman"/>
          <w:sz w:val="24"/>
          <w:highlight w:val="none"/>
          <w:u w:val="single"/>
        </w:rPr>
        <w:t xml:space="preserve">                       </w:t>
      </w:r>
    </w:p>
    <w:p w14:paraId="7D4CD7E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lang w:eastAsia="zh-CN"/>
        </w:rPr>
      </w:pPr>
      <w:bookmarkStart w:id="1369" w:name="_Toc6894"/>
      <w:bookmarkStart w:id="1370" w:name="_Toc3458"/>
      <w:bookmarkStart w:id="1371" w:name="_Toc31576"/>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7</w:t>
      </w:r>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 xml:space="preserve"> 计量</w:t>
      </w:r>
      <w:bookmarkEnd w:id="1369"/>
      <w:bookmarkEnd w:id="1370"/>
      <w:bookmarkEnd w:id="1371"/>
    </w:p>
    <w:p w14:paraId="7468EE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17.1.5 本项目工程量清单中总额价子目的支付原则和支付进度：</w:t>
      </w:r>
      <w:r>
        <w:rPr>
          <w:rFonts w:hint="default" w:ascii="Times New Roman" w:hAnsi="Times New Roman" w:cs="Times New Roman"/>
          <w:sz w:val="24"/>
          <w:highlight w:val="none"/>
          <w:u w:val="single"/>
        </w:rPr>
        <w:t xml:space="preserve">            </w:t>
      </w:r>
    </w:p>
    <w:p w14:paraId="357F51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2" w:name="_Toc30430"/>
      <w:bookmarkStart w:id="1373" w:name="_Toc6486"/>
      <w:bookmarkStart w:id="1374" w:name="_Toc18014"/>
      <w:bookmarkStart w:id="1375" w:name="_Toc234833228"/>
      <w:r>
        <w:rPr>
          <w:rFonts w:hint="default" w:ascii="Times New Roman" w:hAnsi="Times New Roman" w:eastAsia="黑体" w:cs="Times New Roman"/>
          <w:b w:val="0"/>
          <w:sz w:val="24"/>
          <w:szCs w:val="24"/>
          <w:highlight w:val="none"/>
        </w:rPr>
        <w:t>17.3 工程进度付款</w:t>
      </w:r>
      <w:bookmarkEnd w:id="1372"/>
      <w:bookmarkEnd w:id="1373"/>
      <w:bookmarkEnd w:id="1374"/>
    </w:p>
    <w:p w14:paraId="6070F7BD">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17.3.5 农民工工资保证金的缴存时间：</w:t>
      </w:r>
      <w:r>
        <w:rPr>
          <w:rFonts w:hint="default" w:ascii="Times New Roman" w:hAnsi="Times New Roman" w:cs="Times New Roman"/>
          <w:sz w:val="24"/>
          <w:highlight w:val="none"/>
          <w:u w:val="single"/>
        </w:rPr>
        <w:t xml:space="preserve">                       </w:t>
      </w:r>
    </w:p>
    <w:p w14:paraId="04D02830">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农民工工资保证金的缴存金额：</w:t>
      </w:r>
      <w:r>
        <w:rPr>
          <w:rFonts w:hint="default" w:ascii="Times New Roman" w:hAnsi="Times New Roman" w:cs="Times New Roman"/>
          <w:sz w:val="24"/>
          <w:highlight w:val="none"/>
          <w:u w:val="single"/>
        </w:rPr>
        <w:t xml:space="preserve">                       </w:t>
      </w:r>
    </w:p>
    <w:p w14:paraId="7CFB68D2">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农民工工资保证金的扣留条件：</w:t>
      </w:r>
      <w:r>
        <w:rPr>
          <w:rFonts w:hint="default" w:ascii="Times New Roman" w:hAnsi="Times New Roman" w:cs="Times New Roman"/>
          <w:sz w:val="24"/>
          <w:highlight w:val="none"/>
          <w:u w:val="single"/>
        </w:rPr>
        <w:t xml:space="preserve">                       </w:t>
      </w:r>
    </w:p>
    <w:p w14:paraId="278BEF92">
      <w:pPr>
        <w:pageBreakBefore w:val="0"/>
        <w:widowControl/>
        <w:kinsoku/>
        <w:wordWrap w:val="0"/>
        <w:bidi w:val="0"/>
        <w:spacing w:line="420" w:lineRule="atLeast"/>
        <w:ind w:firstLine="480" w:firstLineChars="200"/>
        <w:rPr>
          <w:rFonts w:hint="default" w:ascii="Times New Roman" w:hAnsi="Times New Roman" w:eastAsia="黑体" w:cs="Times New Roman"/>
          <w:b/>
          <w:sz w:val="24"/>
          <w:highlight w:val="none"/>
        </w:rPr>
      </w:pPr>
      <w:r>
        <w:rPr>
          <w:rFonts w:hint="default" w:ascii="Times New Roman" w:hAnsi="Times New Roman" w:cs="Times New Roman"/>
          <w:sz w:val="24"/>
          <w:highlight w:val="none"/>
        </w:rPr>
        <w:t>农民工工资保证金的返还时间：</w:t>
      </w:r>
      <w:r>
        <w:rPr>
          <w:rFonts w:hint="default" w:ascii="Times New Roman" w:hAnsi="Times New Roman" w:cs="Times New Roman"/>
          <w:sz w:val="24"/>
          <w:highlight w:val="none"/>
          <w:u w:val="single"/>
        </w:rPr>
        <w:t xml:space="preserve">                       </w:t>
      </w:r>
    </w:p>
    <w:p w14:paraId="10BD3B2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6" w:name="_Toc19186"/>
      <w:bookmarkStart w:id="1377" w:name="_Toc13982"/>
      <w:bookmarkStart w:id="1378" w:name="_Toc29939"/>
      <w:r>
        <w:rPr>
          <w:rFonts w:hint="default" w:ascii="Times New Roman" w:hAnsi="Times New Roman" w:eastAsia="黑体" w:cs="Times New Roman"/>
          <w:b w:val="0"/>
          <w:sz w:val="24"/>
          <w:szCs w:val="24"/>
          <w:highlight w:val="none"/>
        </w:rPr>
        <w:t>21.1 不可抗力的确认</w:t>
      </w:r>
      <w:bookmarkEnd w:id="1375"/>
      <w:bookmarkEnd w:id="1376"/>
      <w:bookmarkEnd w:id="1377"/>
      <w:bookmarkEnd w:id="1378"/>
    </w:p>
    <w:p w14:paraId="76073E62">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21.1.1 （6）不可抗力的其他情形：</w:t>
      </w:r>
      <w:r>
        <w:rPr>
          <w:rFonts w:hint="default" w:ascii="Times New Roman" w:hAnsi="Times New Roman" w:cs="Times New Roman"/>
          <w:sz w:val="24"/>
          <w:highlight w:val="none"/>
          <w:u w:val="single"/>
        </w:rPr>
        <w:t xml:space="preserve">                            </w:t>
      </w:r>
    </w:p>
    <w:p w14:paraId="0CC39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9" w:name="_Toc28435"/>
      <w:bookmarkStart w:id="1380" w:name="_Toc11054"/>
      <w:bookmarkStart w:id="1381" w:name="_Toc1677"/>
      <w:bookmarkStart w:id="1382" w:name="_Toc234833229"/>
      <w:r>
        <w:rPr>
          <w:rFonts w:hint="default" w:ascii="Times New Roman" w:hAnsi="Times New Roman" w:eastAsia="黑体" w:cs="Times New Roman"/>
          <w:b w:val="0"/>
          <w:sz w:val="24"/>
          <w:szCs w:val="24"/>
          <w:highlight w:val="none"/>
        </w:rPr>
        <w:t>22.1 承包人违约</w:t>
      </w:r>
      <w:bookmarkEnd w:id="1379"/>
      <w:bookmarkEnd w:id="1380"/>
      <w:bookmarkEnd w:id="1381"/>
      <w:bookmarkEnd w:id="1382"/>
    </w:p>
    <w:p w14:paraId="05288CE6">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22.1.2 当承包人发生第22.1.1项约定的违约情况时，发包人有权向承包人课以违约金，具体约定如下：</w:t>
      </w:r>
      <w:r>
        <w:rPr>
          <w:rFonts w:hint="default" w:ascii="Times New Roman" w:hAnsi="Times New Roman" w:cs="Times New Roman"/>
          <w:sz w:val="24"/>
          <w:highlight w:val="none"/>
          <w:u w:val="single"/>
        </w:rPr>
        <w:t xml:space="preserve">                               </w:t>
      </w:r>
    </w:p>
    <w:p w14:paraId="3467B0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83" w:name="_Toc3651"/>
      <w:bookmarkStart w:id="1384" w:name="_Toc29318"/>
      <w:bookmarkStart w:id="1385" w:name="_Toc10655"/>
      <w:r>
        <w:rPr>
          <w:rFonts w:hint="default" w:ascii="Times New Roman" w:hAnsi="Times New Roman" w:eastAsia="黑体" w:cs="Times New Roman"/>
          <w:b w:val="0"/>
          <w:sz w:val="24"/>
          <w:szCs w:val="24"/>
          <w:highlight w:val="none"/>
        </w:rPr>
        <w:t>22.2 发包人违约</w:t>
      </w:r>
      <w:bookmarkEnd w:id="1383"/>
      <w:bookmarkEnd w:id="1384"/>
      <w:bookmarkEnd w:id="1385"/>
    </w:p>
    <w:p w14:paraId="6E7EACB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22.2.2发包人无正当理由不按时返还履约保证金、质量保证金或农民工工资保证金的，发包人应向承包人支付的违约金如下：</w:t>
      </w:r>
      <w:r>
        <w:rPr>
          <w:rFonts w:hint="default" w:ascii="Times New Roman" w:hAnsi="Times New Roman" w:cs="Times New Roman"/>
          <w:sz w:val="24"/>
          <w:highlight w:val="none"/>
          <w:u w:val="single"/>
        </w:rPr>
        <w:t xml:space="preserve">                               </w:t>
      </w:r>
    </w:p>
    <w:p w14:paraId="11FB60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w:t>
      </w:r>
    </w:p>
    <w:p w14:paraId="3FC62631">
      <w:pPr>
        <w:pageBreakBefore w:val="0"/>
        <w:kinsoku/>
        <w:wordWrap w:val="0"/>
        <w:bidi w:val="0"/>
        <w:spacing w:line="380" w:lineRule="atLeast"/>
        <w:rPr>
          <w:rFonts w:hint="default" w:ascii="Times New Roman" w:hAnsi="Times New Roman" w:eastAsia="黑体" w:cs="Times New Roman"/>
          <w:sz w:val="20"/>
          <w:szCs w:val="20"/>
          <w:highlight w:val="none"/>
        </w:rPr>
      </w:pPr>
      <w:r>
        <w:rPr>
          <w:rFonts w:hint="default" w:ascii="Times New Roman" w:hAnsi="Times New Roman" w:eastAsia="黑体" w:cs="Times New Roman"/>
          <w:sz w:val="24"/>
          <w:highlight w:val="none"/>
        </w:rPr>
        <w:br w:type="page"/>
      </w:r>
    </w:p>
    <w:p w14:paraId="7E4A4FDC">
      <w:pPr>
        <w:pageBreakBefore w:val="0"/>
        <w:kinsoku/>
        <w:wordWrap w:val="0"/>
        <w:bidi w:val="0"/>
        <w:spacing w:line="440" w:lineRule="exact"/>
        <w:jc w:val="center"/>
        <w:rPr>
          <w:rFonts w:hint="default" w:ascii="Times New Roman" w:hAnsi="Times New Roman" w:eastAsia="黑体" w:cs="Times New Roman"/>
          <w:sz w:val="29"/>
          <w:szCs w:val="29"/>
          <w:highlight w:val="none"/>
        </w:rPr>
      </w:pPr>
      <w:bookmarkStart w:id="1386" w:name="_Toc234833230"/>
    </w:p>
    <w:p w14:paraId="6EB513A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C862D2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286452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F74F3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64E2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CE16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7CE12F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1132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B1A72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654A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30617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1387" w:name="_Toc26085"/>
      <w:bookmarkStart w:id="1388" w:name="_Toc12441"/>
      <w:r>
        <w:rPr>
          <w:rFonts w:hint="default" w:ascii="Times New Roman" w:hAnsi="Times New Roman" w:eastAsia="黑体" w:cs="Times New Roman"/>
          <w:b w:val="0"/>
          <w:sz w:val="42"/>
          <w:szCs w:val="42"/>
          <w:highlight w:val="none"/>
        </w:rPr>
        <w:t>第三节  合同附件格式</w:t>
      </w:r>
      <w:bookmarkEnd w:id="1386"/>
      <w:bookmarkEnd w:id="1387"/>
      <w:bookmarkEnd w:id="1388"/>
    </w:p>
    <w:p w14:paraId="4673F6B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1FAE3254">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0"/>
          <w:szCs w:val="20"/>
          <w:highlight w:val="none"/>
        </w:rPr>
        <w:br w:type="page"/>
      </w:r>
      <w:bookmarkStart w:id="1389" w:name="_Toc17942"/>
      <w:bookmarkStart w:id="1390" w:name="_Toc234833231"/>
      <w:bookmarkStart w:id="1391" w:name="_Toc24256"/>
      <w:bookmarkStart w:id="1392" w:name="_Toc8711"/>
      <w:r>
        <w:rPr>
          <w:rFonts w:hint="default" w:ascii="Times New Roman" w:hAnsi="Times New Roman" w:eastAsia="黑体" w:cs="Times New Roman"/>
          <w:b w:val="0"/>
          <w:sz w:val="24"/>
          <w:szCs w:val="24"/>
          <w:highlight w:val="none"/>
        </w:rPr>
        <w:t>附件一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合同协议书</w:t>
      </w:r>
      <w:bookmarkEnd w:id="1389"/>
      <w:bookmarkEnd w:id="1390"/>
      <w:bookmarkEnd w:id="1391"/>
      <w:bookmarkEnd w:id="1392"/>
    </w:p>
    <w:p w14:paraId="4410A15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合 同 协 议 书</w:t>
      </w:r>
    </w:p>
    <w:p w14:paraId="305E8DC7">
      <w:pPr>
        <w:pageBreakBefore w:val="0"/>
        <w:kinsoku/>
        <w:wordWrap w:val="0"/>
        <w:bidi w:val="0"/>
        <w:spacing w:line="440" w:lineRule="exact"/>
        <w:ind w:firstLine="480" w:firstLineChars="200"/>
        <w:rPr>
          <w:rFonts w:hint="default" w:ascii="Times New Roman" w:hAnsi="Times New Roman" w:cs="Times New Roman"/>
          <w:sz w:val="24"/>
          <w:highlight w:val="none"/>
          <w:u w:val="single"/>
        </w:rPr>
      </w:pPr>
    </w:p>
    <w:p w14:paraId="2AF9C540">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）为实施</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（项目名称），已接受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）对该项目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标段施工的投标。发包人和承包人共同达成如下协议。</w:t>
      </w:r>
    </w:p>
    <w:p w14:paraId="245D19B8">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 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标段由K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至K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，长约</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km，公路等级为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，设计速度为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路面，有</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立交</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处；特大桥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m；大中桥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m；隧道</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m以及其他构造物工程等。</w:t>
      </w:r>
    </w:p>
    <w:p w14:paraId="212B8A9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 下列文件应视为构成合同文件的组成部分：</w:t>
      </w:r>
    </w:p>
    <w:p w14:paraId="528836CC">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（1）本协议书及各种合同附件（含评标期间和合同谈判过程中的澄清文件和补充资料）；</w:t>
      </w:r>
    </w:p>
    <w:p w14:paraId="36D0071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（2）中标通知书；</w:t>
      </w:r>
    </w:p>
    <w:p w14:paraId="5DA024D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（3）投标函及投标函附录；</w:t>
      </w:r>
    </w:p>
    <w:p w14:paraId="2751888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（4）项目专用合同条款；</w:t>
      </w:r>
    </w:p>
    <w:p w14:paraId="2A3050E8">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（5）公路工程专用合同条款；</w:t>
      </w:r>
    </w:p>
    <w:p w14:paraId="463B24A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1FB87AF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0FC618E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（8）技术规范；</w:t>
      </w:r>
    </w:p>
    <w:p w14:paraId="5CB8FA97">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（9）图纸；</w:t>
      </w:r>
    </w:p>
    <w:p w14:paraId="0076DDC1">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（10）已标价工程量清单；</w:t>
      </w:r>
    </w:p>
    <w:p w14:paraId="4E9E0242">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（11）承包人有关人员、设备投入的承诺及投标文件中的施工组织设计；</w:t>
      </w:r>
    </w:p>
    <w:p w14:paraId="1746ADAA">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（12）其他合同文件。</w:t>
      </w:r>
    </w:p>
    <w:p w14:paraId="270A0E3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上述合同文件互相补充和解释。如果合同文件之间存在矛盾或不一致之处，以上述文件的排列顺序在先者为准。</w:t>
      </w:r>
    </w:p>
    <w:p w14:paraId="50D142D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 根据工程量清单所列的预计数量和单价或总额价计算的签约合同价：人民币（大写）________元（¥________）。</w:t>
      </w:r>
    </w:p>
    <w:p w14:paraId="61D9E8A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u w:val="single"/>
        </w:rPr>
      </w:pPr>
      <w:r>
        <w:rPr>
          <w:rFonts w:hint="default" w:ascii="Times New Roman" w:hAnsi="Times New Roman" w:cs="Times New Roman"/>
          <w:sz w:val="24"/>
          <w:highlight w:val="none"/>
        </w:rPr>
        <w:t>4. 承包人项目经理：</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。承包人项目总工：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642C1F3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工程质量符合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标准。工程安全目标：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7485DF">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 承包人承诺按合同约定承担工程的实施、完成及缺陷修复。</w:t>
      </w:r>
    </w:p>
    <w:p w14:paraId="0A9E00E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 发包人承诺按合同约定的条件、时间和方式向承包人支付合同价款。</w:t>
      </w:r>
    </w:p>
    <w:p w14:paraId="1712CD8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 承包人应按照监理人指示开工，工期为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3098B4F0">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78B20FDF">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 本协议书正本二份、副本____份，合同双方各执正本一份，副本____份，当正本与副本的内容不一致时，以正本为准。</w:t>
      </w:r>
    </w:p>
    <w:p w14:paraId="268604FA">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 合同未尽事宜，双方另行签订补充协议。补充协议是合同的组成部分。</w:t>
      </w:r>
    </w:p>
    <w:p w14:paraId="1BF14587">
      <w:pPr>
        <w:pageBreakBefore w:val="0"/>
        <w:kinsoku/>
        <w:wordWrap w:val="0"/>
        <w:bidi w:val="0"/>
        <w:spacing w:line="440" w:lineRule="exact"/>
        <w:rPr>
          <w:rFonts w:hint="default" w:ascii="Times New Roman" w:hAnsi="Times New Roman" w:cs="Times New Roman"/>
          <w:sz w:val="24"/>
          <w:highlight w:val="none"/>
        </w:rPr>
      </w:pPr>
    </w:p>
    <w:p w14:paraId="46A4D8C6">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C259D7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03DCEEA7">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294F6A57">
      <w:pPr>
        <w:pageBreakBefore w:val="0"/>
        <w:kinsoku/>
        <w:wordWrap w:val="0"/>
        <w:bidi w:val="0"/>
        <w:spacing w:line="440" w:lineRule="exact"/>
        <w:rPr>
          <w:rFonts w:hint="default" w:ascii="Times New Roman" w:hAnsi="Times New Roman" w:cs="Times New Roman"/>
          <w:sz w:val="24"/>
          <w:highlight w:val="none"/>
        </w:rPr>
      </w:pPr>
    </w:p>
    <w:p w14:paraId="26232FCD">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393" w:name="_Toc7242"/>
      <w:bookmarkStart w:id="1394" w:name="_Toc21211"/>
      <w:bookmarkStart w:id="1395" w:name="_Toc5419"/>
      <w:bookmarkStart w:id="1396" w:name="_Toc234833232"/>
      <w:r>
        <w:rPr>
          <w:rFonts w:hint="default" w:ascii="Times New Roman" w:hAnsi="Times New Roman" w:eastAsia="黑体" w:cs="Times New Roman"/>
          <w:b w:val="0"/>
          <w:sz w:val="24"/>
          <w:szCs w:val="24"/>
          <w:highlight w:val="none"/>
        </w:rPr>
        <w:t>附件二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廉政合同</w:t>
      </w:r>
      <w:bookmarkEnd w:id="1393"/>
      <w:bookmarkEnd w:id="1394"/>
      <w:bookmarkEnd w:id="1395"/>
      <w:bookmarkEnd w:id="1396"/>
    </w:p>
    <w:p w14:paraId="71F825A8">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廉 政 合 同</w:t>
      </w:r>
    </w:p>
    <w:p w14:paraId="64635812">
      <w:pPr>
        <w:pageBreakBefore w:val="0"/>
        <w:kinsoku/>
        <w:wordWrap w:val="0"/>
        <w:bidi w:val="0"/>
        <w:spacing w:line="400" w:lineRule="atLeast"/>
        <w:rPr>
          <w:rFonts w:hint="default" w:ascii="Times New Roman" w:hAnsi="Times New Roman" w:eastAsia="黑体" w:cs="Times New Roman"/>
          <w:b/>
          <w:spacing w:val="30"/>
          <w:sz w:val="24"/>
          <w:highlight w:val="none"/>
        </w:rPr>
      </w:pPr>
    </w:p>
    <w:p w14:paraId="76B9756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（项目名称）的项目法人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（项目法人名称，以下简称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标段的施工单位</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（施工单位名称，以下简称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），特订立如下合同。</w:t>
      </w:r>
    </w:p>
    <w:p w14:paraId="0C5B0DC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 发包人和承包人双方的权利和义务</w:t>
      </w:r>
    </w:p>
    <w:p w14:paraId="437FEFA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（1）严格遵守党的政策规定和国家有关法律法规及交通运输部的有关规定。</w:t>
      </w:r>
    </w:p>
    <w:p w14:paraId="5681191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（2）严格执行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标段施工合同文件，自觉按合同办事。</w:t>
      </w:r>
    </w:p>
    <w:p w14:paraId="3FB0403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（3）双方的业务活动坚持公开、公正、诚信、透明的原则（法律认定的商业秘密和合同文件另有规定除外），不得损害国家和集体利益，不得违反工程建设管理规章制度。</w:t>
      </w:r>
    </w:p>
    <w:p w14:paraId="711FBF8F">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（4）建立健全廉政制度，开展廉政教育，设立廉政告示牌，公布举报电话，监督并认真查处违法违纪行为。</w:t>
      </w:r>
    </w:p>
    <w:p w14:paraId="1D3BB71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（5）发现对方在业务活动中有违反廉政规定的行为，有及时提醒对方纠正的权利和义务。</w:t>
      </w:r>
    </w:p>
    <w:p w14:paraId="0C3BB7C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（6）发现对方严重违反本合同义务条款的行为，有向其上级有关部门举报、建议给予处理并要求告知处理结果的权利。</w:t>
      </w:r>
    </w:p>
    <w:p w14:paraId="1909967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 发包人的义务</w:t>
      </w:r>
    </w:p>
    <w:p w14:paraId="767F876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（1）发包人及其工作人员不得索要或接受承包人的礼金、有价证券和贵重物品，不得让承包人报销任何应由发包人或发包人工作人员个人支付的费用等。</w:t>
      </w:r>
    </w:p>
    <w:p w14:paraId="3E9FD98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（2）发包人工作人员不得参加承包人安排的超标准宴请和娱乐活动；不得接受承包人提供的通信工具、交通工具和高档办公用品等。</w:t>
      </w:r>
    </w:p>
    <w:p w14:paraId="1B4DE04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（3）发包人及其工作人员不得要求或者接受承包人为其住房装修、婚丧嫁娶活动、配偶子女的工作安排以及出国出境、旅游等提供方便等。</w:t>
      </w:r>
    </w:p>
    <w:p w14:paraId="1D70C55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（4）发包人工作人员及其配偶、子女不得从事与发包人工程有关的材料设备供应、工程分包、劳务等经济活动等。</w:t>
      </w:r>
    </w:p>
    <w:p w14:paraId="45FFEE2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（5）发包人及其工作人员不得以任何理由向承包人推荐分包单位或推销材料，不得要求承包人购买合同规定外的材料和设备。</w:t>
      </w:r>
    </w:p>
    <w:p w14:paraId="3AF15F74">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（6）发包人工作人员要秉公办事，不准营私舞弊，不准利用职权从事各种个人有偿中介活动和安排个人施工队伍。</w:t>
      </w:r>
    </w:p>
    <w:p w14:paraId="701EB167">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eastAsia="黑体" w:cs="Times New Roman"/>
          <w:sz w:val="24"/>
          <w:highlight w:val="none"/>
        </w:rPr>
        <w:t>3. 承包人的义务</w:t>
      </w:r>
    </w:p>
    <w:p w14:paraId="741A2E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（1）承包人不得以任何理由向发包人及其工作人员行贿或馈赠礼金、有价证券、贵重礼品。</w:t>
      </w:r>
    </w:p>
    <w:p w14:paraId="7B224ED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（2）承包人不得以任何名义为发包人及其工作人员报销应由发包人单位或个人支付的任何费用。</w:t>
      </w:r>
    </w:p>
    <w:p w14:paraId="15A7FA4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（3）承包人不得以任何理由安排发包人工作人员参加超标准宴请及娱乐活动。</w:t>
      </w:r>
    </w:p>
    <w:p w14:paraId="083CFC06">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（4）承包人不得为发包人单位和个人购置或提供通信工具、交通工具和高档办公用品等。</w:t>
      </w:r>
    </w:p>
    <w:p w14:paraId="5037730A">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4. 违约责任</w:t>
      </w:r>
    </w:p>
    <w:p w14:paraId="413D21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494AA67">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06FEB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5.</w:t>
      </w:r>
      <w:r>
        <w:rPr>
          <w:rFonts w:hint="default" w:ascii="Times New Roman" w:hAnsi="Times New Roman" w:cs="Times New Roman"/>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66F95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6. </w:t>
      </w:r>
      <w:r>
        <w:rPr>
          <w:rFonts w:hint="default" w:ascii="Times New Roman" w:hAnsi="Times New Roman" w:cs="Times New Roman"/>
          <w:sz w:val="24"/>
          <w:highlight w:val="none"/>
        </w:rPr>
        <w:t>本合同有效期为发包人和承包人签署之日起至该工程项目竣工验收后止。</w:t>
      </w:r>
    </w:p>
    <w:p w14:paraId="049085C5">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7. </w:t>
      </w:r>
      <w:r>
        <w:rPr>
          <w:rFonts w:hint="default" w:ascii="Times New Roman" w:hAnsi="Times New Roman" w:cs="Times New Roman"/>
          <w:sz w:val="24"/>
          <w:highlight w:val="none"/>
        </w:rPr>
        <w:t>本合同作为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标段施工合同的附件，与工程施工合同具有同等的法律效力，经合同双方签署后立即生效。</w:t>
      </w:r>
    </w:p>
    <w:p w14:paraId="4ED4B5E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8.</w:t>
      </w:r>
      <w:r>
        <w:rPr>
          <w:rFonts w:hint="default" w:ascii="Times New Roman" w:hAnsi="Times New Roman" w:cs="Times New Roman"/>
          <w:sz w:val="24"/>
          <w:highlight w:val="none"/>
        </w:rPr>
        <w:t xml:space="preserve"> 本合同一式四份，由发包人和承包人各执一份，送交发包人和承包人的监督单位各一份。</w:t>
      </w:r>
    </w:p>
    <w:p w14:paraId="18D57234">
      <w:pPr>
        <w:pageBreakBefore w:val="0"/>
        <w:kinsoku/>
        <w:wordWrap w:val="0"/>
        <w:bidi w:val="0"/>
        <w:spacing w:line="400" w:lineRule="atLeast"/>
        <w:rPr>
          <w:rFonts w:hint="default" w:ascii="Times New Roman" w:hAnsi="Times New Roman" w:cs="Times New Roman"/>
          <w:sz w:val="24"/>
          <w:highlight w:val="none"/>
        </w:rPr>
      </w:pPr>
    </w:p>
    <w:p w14:paraId="54D4D8C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1DAAD86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F1A2211">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FDF8CBB">
      <w:pPr>
        <w:pageBreakBefore w:val="0"/>
        <w:kinsoku/>
        <w:wordWrap w:val="0"/>
        <w:bidi w:val="0"/>
        <w:spacing w:line="440" w:lineRule="exact"/>
        <w:ind w:firstLine="360" w:firstLineChars="150"/>
        <w:rPr>
          <w:rFonts w:hint="default" w:ascii="Times New Roman" w:hAnsi="Times New Roman" w:cs="Times New Roman"/>
          <w:sz w:val="24"/>
          <w:highlight w:val="none"/>
        </w:rPr>
      </w:pPr>
    </w:p>
    <w:p w14:paraId="312C5A7A">
      <w:pPr>
        <w:pageBreakBefore w:val="0"/>
        <w:kinsoku/>
        <w:wordWrap w:val="0"/>
        <w:bidi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发包人监督单位：</w:t>
      </w:r>
      <w:r>
        <w:rPr>
          <w:rFonts w:hint="default" w:ascii="Times New Roman" w:hAnsi="Times New Roman" w:cs="Times New Roman"/>
          <w:sz w:val="24"/>
          <w:highlight w:val="none"/>
          <w:u w:val="single"/>
        </w:rPr>
        <w:t>（全称）（盖单位章）</w:t>
      </w:r>
      <w:r>
        <w:rPr>
          <w:rFonts w:hint="default" w:ascii="Times New Roman" w:hAnsi="Times New Roman" w:cs="Times New Roman"/>
          <w:sz w:val="24"/>
          <w:highlight w:val="none"/>
        </w:rPr>
        <w:t xml:space="preserve">     承包人监督单位：</w:t>
      </w:r>
      <w:r>
        <w:rPr>
          <w:rFonts w:hint="default" w:ascii="Times New Roman" w:hAnsi="Times New Roman" w:cs="Times New Roman"/>
          <w:sz w:val="24"/>
          <w:highlight w:val="none"/>
          <w:u w:val="single"/>
        </w:rPr>
        <w:t>（全称）（盖单位章）</w:t>
      </w:r>
    </w:p>
    <w:p w14:paraId="6228794E">
      <w:pPr>
        <w:pageBreakBefore w:val="0"/>
        <w:kinsoku/>
        <w:wordWrap w:val="0"/>
        <w:bidi w:val="0"/>
        <w:spacing w:line="400" w:lineRule="atLeast"/>
        <w:rPr>
          <w:rFonts w:hint="default" w:ascii="Times New Roman" w:hAnsi="Times New Roman" w:cs="Times New Roman"/>
          <w:sz w:val="24"/>
          <w:highlight w:val="none"/>
        </w:rPr>
      </w:pPr>
    </w:p>
    <w:p w14:paraId="5FCE19BE">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397" w:name="_Toc234833233"/>
      <w:bookmarkStart w:id="1398" w:name="_Toc1095"/>
      <w:bookmarkStart w:id="1399" w:name="_Toc20728"/>
      <w:bookmarkStart w:id="1400" w:name="_Toc17848"/>
      <w:r>
        <w:rPr>
          <w:rFonts w:hint="default" w:ascii="Times New Roman" w:hAnsi="Times New Roman" w:eastAsia="黑体" w:cs="Times New Roman"/>
          <w:b w:val="0"/>
          <w:sz w:val="24"/>
          <w:szCs w:val="24"/>
          <w:highlight w:val="none"/>
        </w:rPr>
        <w:t>附件三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安全生产合同</w:t>
      </w:r>
      <w:bookmarkEnd w:id="1397"/>
      <w:bookmarkEnd w:id="1398"/>
      <w:bookmarkEnd w:id="1399"/>
      <w:bookmarkEnd w:id="1400"/>
    </w:p>
    <w:p w14:paraId="09B57D30">
      <w:pPr>
        <w:pageBreakBefore w:val="0"/>
        <w:kinsoku/>
        <w:wordWrap w:val="0"/>
        <w:bidi w:val="0"/>
        <w:spacing w:line="39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安全生产合同</w:t>
      </w:r>
    </w:p>
    <w:p w14:paraId="38E2677C">
      <w:pPr>
        <w:pageBreakBefore w:val="0"/>
        <w:kinsoku/>
        <w:wordWrap w:val="0"/>
        <w:bidi w:val="0"/>
        <w:spacing w:line="390" w:lineRule="atLeast"/>
        <w:rPr>
          <w:rFonts w:hint="default" w:ascii="Times New Roman" w:hAnsi="Times New Roman" w:eastAsia="黑体" w:cs="Times New Roman"/>
          <w:b/>
          <w:sz w:val="24"/>
          <w:highlight w:val="none"/>
        </w:rPr>
      </w:pPr>
    </w:p>
    <w:p w14:paraId="6F761F7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为在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标段施工合同的实施过程中创造安全、高效的施工环境，切实搞好本项目的安全管理工作，本项目发包人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）特此签订安全生产合同。</w:t>
      </w:r>
    </w:p>
    <w:p w14:paraId="44BDCA4E">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1.发包人职责</w:t>
      </w:r>
    </w:p>
    <w:p w14:paraId="60C6C146">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（1）严格遵守国家有关安全生产的法律法规，认真执行工程承包合同中的有关安全要求。</w:t>
      </w:r>
    </w:p>
    <w:p w14:paraId="66BEC79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（2）按照</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和坚持</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的原则进行安全生产管理，做到生产与安全工作同时计划、布置、检查、总结和评比。</w:t>
      </w:r>
    </w:p>
    <w:p w14:paraId="40D2566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（3）重要的安全设施必须坚持与主体工程</w:t>
      </w:r>
      <w:r>
        <w:rPr>
          <w:rFonts w:hint="eastAsia" w:ascii="宋体" w:hAnsi="宋体" w:eastAsia="宋体" w:cs="宋体"/>
          <w:sz w:val="24"/>
          <w:highlight w:val="none"/>
        </w:rPr>
        <w:t>“</w:t>
      </w:r>
      <w:r>
        <w:rPr>
          <w:rFonts w:hint="default" w:ascii="Times New Roman" w:hAnsi="Times New Roman" w:cs="Times New Roman"/>
          <w:sz w:val="24"/>
          <w:highlight w:val="none"/>
        </w:rPr>
        <w:t>三同时</w:t>
      </w:r>
      <w:r>
        <w:rPr>
          <w:rFonts w:hint="eastAsia" w:ascii="宋体" w:hAnsi="宋体" w:eastAsia="宋体" w:cs="宋体"/>
          <w:sz w:val="24"/>
          <w:highlight w:val="none"/>
        </w:rPr>
        <w:t>”</w:t>
      </w:r>
      <w:r>
        <w:rPr>
          <w:rFonts w:hint="default" w:ascii="Times New Roman" w:hAnsi="Times New Roman" w:cs="Times New Roman"/>
          <w:sz w:val="24"/>
          <w:highlight w:val="none"/>
        </w:rPr>
        <w:t>的原则，即：同时设计、审批，同时施工，同时验收，投入使用。</w:t>
      </w:r>
    </w:p>
    <w:p w14:paraId="41F8285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（4）定期召开安全生产调度会，及时传达中央及地方有关安全生产的精神。</w:t>
      </w:r>
    </w:p>
    <w:p w14:paraId="3A70F76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（5）组织对承包人施工现场进行安全生产检查，监督承包人及时处理发现的各种安全隐患。</w:t>
      </w:r>
    </w:p>
    <w:p w14:paraId="6FC627E6">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2.承包人职责</w:t>
      </w:r>
    </w:p>
    <w:p w14:paraId="1605C9E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0324687">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（2）坚持</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3BB9068">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6AA12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（4）承包人在任何时候都应采取各种合理的预防措施，防止其员工发生任何违法、违禁、暴力或妨碍治安的行为。</w:t>
      </w:r>
    </w:p>
    <w:p w14:paraId="0874224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C9EABA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5B08A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（7）操作人员上岗，必须按规定穿戴防护用品。施工负责人和安全检查员应随时检查劳动防护用品的穿戴情况，不按规定穿戴防护用品的人员不得上岗。</w:t>
      </w:r>
    </w:p>
    <w:p w14:paraId="2723392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（8）所有施工机具设备和高空作业的设备均应定期检查，并有安全员的签字记录，保证其经常处于完好状态；不合格的机具、设备和劳动保护用品严禁使用。</w:t>
      </w:r>
    </w:p>
    <w:p w14:paraId="0AB3DBF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（9）施工中采用新技术、新工艺、新设备、新材料时，必须制定相应的安全技术措施，施工现场必须具有相关的安全标志牌。</w:t>
      </w:r>
    </w:p>
    <w:p w14:paraId="66C5031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的原则，严肃处理相关责任人。</w:t>
      </w:r>
    </w:p>
    <w:p w14:paraId="3D3C172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（11）安全生产费用按照</w:t>
      </w:r>
      <w:bookmarkStart w:id="1401" w:name="_Toc187470650"/>
      <w:r>
        <w:rPr>
          <w:rFonts w:hint="default" w:ascii="Times New Roman" w:hAnsi="Times New Roman" w:cs="Times New Roman"/>
          <w:sz w:val="24"/>
          <w:highlight w:val="none"/>
        </w:rPr>
        <w:t>《公路水运工程安全生产监督管理办法</w:t>
      </w:r>
      <w:bookmarkEnd w:id="1401"/>
      <w:r>
        <w:rPr>
          <w:rFonts w:hint="default" w:ascii="Times New Roman" w:hAnsi="Times New Roman" w:cs="Times New Roman"/>
          <w:sz w:val="24"/>
          <w:highlight w:val="none"/>
        </w:rPr>
        <w:t>》的相关规定使用和管理。</w:t>
      </w:r>
    </w:p>
    <w:p w14:paraId="7A6BA294">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3.违约责任</w:t>
      </w:r>
    </w:p>
    <w:p w14:paraId="4C21FB7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如因发包人或承包人违约造成安全事故，将依法追究责任。</w:t>
      </w:r>
    </w:p>
    <w:p w14:paraId="629AAF8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 本合同由双方法定代表人或其授权的代理人签署并加盖单位章后生效，全部工程竣工验收后失效。</w:t>
      </w:r>
    </w:p>
    <w:p w14:paraId="6A08C50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本合同正本二份、副本____份，合同双方各执正本一份，副本____份，当正本与副本的内容不一致时，以正本为准。</w:t>
      </w:r>
    </w:p>
    <w:p w14:paraId="0AB33D9F">
      <w:pPr>
        <w:pageBreakBefore w:val="0"/>
        <w:kinsoku/>
        <w:wordWrap w:val="0"/>
        <w:bidi w:val="0"/>
        <w:spacing w:line="400" w:lineRule="atLeast"/>
        <w:ind w:firstLine="525"/>
        <w:rPr>
          <w:rFonts w:hint="default" w:ascii="Times New Roman" w:hAnsi="Times New Roman" w:cs="Times New Roman"/>
          <w:sz w:val="24"/>
          <w:highlight w:val="none"/>
        </w:rPr>
      </w:pPr>
    </w:p>
    <w:p w14:paraId="1D498AB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737DCF9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i/>
          <w:sz w:val="24"/>
          <w:highlight w:val="none"/>
        </w:rPr>
        <w:t>（</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7A0833E0">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CF6A526">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02" w:name="_Toc24330"/>
      <w:bookmarkStart w:id="1403" w:name="_Toc24497"/>
      <w:bookmarkStart w:id="1404" w:name="_Toc5077"/>
      <w:bookmarkStart w:id="1405" w:name="_Toc234833234"/>
      <w:r>
        <w:rPr>
          <w:rFonts w:hint="default" w:ascii="Times New Roman" w:hAnsi="Times New Roman" w:eastAsia="黑体" w:cs="Times New Roman"/>
          <w:b w:val="0"/>
          <w:sz w:val="24"/>
          <w:szCs w:val="24"/>
          <w:highlight w:val="none"/>
        </w:rPr>
        <w:t>附件四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其他管理和技术人员最低要求 </w:t>
      </w:r>
      <w:r>
        <w:rPr>
          <w:rFonts w:hint="default" w:ascii="Times New Roman" w:hAnsi="Times New Roman" w:cs="Times New Roman"/>
          <w:kern w:val="2"/>
          <w:sz w:val="24"/>
          <w:szCs w:val="24"/>
          <w:highlight w:val="none"/>
          <w:vertAlign w:val="superscript"/>
        </w:rPr>
        <w:footnoteReference w:id="30"/>
      </w:r>
      <w:bookmarkEnd w:id="1402"/>
      <w:bookmarkEnd w:id="1403"/>
      <w:bookmarkEnd w:id="1404"/>
      <w:bookmarkEnd w:id="1405"/>
    </w:p>
    <w:p w14:paraId="48628E32">
      <w:pPr>
        <w:pageBreakBefore w:val="0"/>
        <w:kinsoku/>
        <w:wordWrap w:val="0"/>
        <w:bidi w:val="0"/>
        <w:adjustRightInd w:val="0"/>
        <w:snapToGrid w:val="0"/>
        <w:spacing w:line="400" w:lineRule="atLeast"/>
        <w:rPr>
          <w:rFonts w:hint="default" w:ascii="Times New Roman" w:hAnsi="Times New Roman" w:cs="Times New Roman"/>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24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309A04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2161" w:type="dxa"/>
            <w:noWrap w:val="0"/>
            <w:vAlign w:val="center"/>
          </w:tcPr>
          <w:p w14:paraId="016E127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4282" w:type="dxa"/>
            <w:noWrap w:val="0"/>
            <w:vAlign w:val="center"/>
          </w:tcPr>
          <w:p w14:paraId="46ED34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43B2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39DF1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9A9A5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F19B57D">
            <w:pPr>
              <w:pageBreakBefore w:val="0"/>
              <w:kinsoku/>
              <w:wordWrap w:val="0"/>
              <w:bidi w:val="0"/>
              <w:spacing w:line="400" w:lineRule="atLeast"/>
              <w:rPr>
                <w:rFonts w:hint="default" w:ascii="Times New Roman" w:hAnsi="Times New Roman" w:cs="Times New Roman"/>
                <w:sz w:val="24"/>
                <w:highlight w:val="none"/>
              </w:rPr>
            </w:pPr>
          </w:p>
        </w:tc>
      </w:tr>
      <w:tr w14:paraId="4A0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1A4DC5A">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6FCEF1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364DB0">
            <w:pPr>
              <w:pageBreakBefore w:val="0"/>
              <w:kinsoku/>
              <w:wordWrap w:val="0"/>
              <w:bidi w:val="0"/>
              <w:spacing w:line="400" w:lineRule="atLeast"/>
              <w:rPr>
                <w:rFonts w:hint="default" w:ascii="Times New Roman" w:hAnsi="Times New Roman" w:cs="Times New Roman"/>
                <w:sz w:val="24"/>
                <w:highlight w:val="none"/>
              </w:rPr>
            </w:pPr>
          </w:p>
        </w:tc>
      </w:tr>
      <w:tr w14:paraId="27A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3364484">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F1053F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FE47368">
            <w:pPr>
              <w:pageBreakBefore w:val="0"/>
              <w:kinsoku/>
              <w:wordWrap w:val="0"/>
              <w:bidi w:val="0"/>
              <w:spacing w:line="400" w:lineRule="atLeast"/>
              <w:rPr>
                <w:rFonts w:hint="default" w:ascii="Times New Roman" w:hAnsi="Times New Roman" w:cs="Times New Roman"/>
                <w:sz w:val="24"/>
                <w:highlight w:val="none"/>
              </w:rPr>
            </w:pPr>
          </w:p>
        </w:tc>
      </w:tr>
      <w:tr w14:paraId="34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18FBD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5EC0CB6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B413E1">
            <w:pPr>
              <w:pageBreakBefore w:val="0"/>
              <w:kinsoku/>
              <w:wordWrap w:val="0"/>
              <w:bidi w:val="0"/>
              <w:spacing w:line="400" w:lineRule="atLeast"/>
              <w:rPr>
                <w:rFonts w:hint="default" w:ascii="Times New Roman" w:hAnsi="Times New Roman" w:cs="Times New Roman"/>
                <w:sz w:val="24"/>
                <w:highlight w:val="none"/>
              </w:rPr>
            </w:pPr>
          </w:p>
        </w:tc>
      </w:tr>
      <w:tr w14:paraId="0275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62358F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59552F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23AD252">
            <w:pPr>
              <w:pageBreakBefore w:val="0"/>
              <w:kinsoku/>
              <w:wordWrap w:val="0"/>
              <w:bidi w:val="0"/>
              <w:spacing w:line="400" w:lineRule="atLeast"/>
              <w:rPr>
                <w:rFonts w:hint="default" w:ascii="Times New Roman" w:hAnsi="Times New Roman" w:cs="Times New Roman"/>
                <w:sz w:val="24"/>
                <w:highlight w:val="none"/>
              </w:rPr>
            </w:pPr>
          </w:p>
        </w:tc>
      </w:tr>
      <w:tr w14:paraId="3A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16DEC0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860678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1954A445">
            <w:pPr>
              <w:pageBreakBefore w:val="0"/>
              <w:kinsoku/>
              <w:wordWrap w:val="0"/>
              <w:bidi w:val="0"/>
              <w:spacing w:line="400" w:lineRule="atLeast"/>
              <w:rPr>
                <w:rFonts w:hint="default" w:ascii="Times New Roman" w:hAnsi="Times New Roman" w:cs="Times New Roman"/>
                <w:sz w:val="24"/>
                <w:highlight w:val="none"/>
              </w:rPr>
            </w:pPr>
          </w:p>
        </w:tc>
      </w:tr>
      <w:tr w14:paraId="59B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7D35305">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2CA99B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4C557D8">
            <w:pPr>
              <w:pageBreakBefore w:val="0"/>
              <w:kinsoku/>
              <w:wordWrap w:val="0"/>
              <w:bidi w:val="0"/>
              <w:spacing w:line="400" w:lineRule="atLeast"/>
              <w:rPr>
                <w:rFonts w:hint="default" w:ascii="Times New Roman" w:hAnsi="Times New Roman" w:cs="Times New Roman"/>
                <w:sz w:val="24"/>
                <w:highlight w:val="none"/>
              </w:rPr>
            </w:pPr>
          </w:p>
        </w:tc>
      </w:tr>
      <w:tr w14:paraId="35E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4B405B3">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083C4DA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6BDD5A">
            <w:pPr>
              <w:pageBreakBefore w:val="0"/>
              <w:kinsoku/>
              <w:wordWrap w:val="0"/>
              <w:bidi w:val="0"/>
              <w:spacing w:line="400" w:lineRule="atLeast"/>
              <w:rPr>
                <w:rFonts w:hint="default" w:ascii="Times New Roman" w:hAnsi="Times New Roman" w:cs="Times New Roman"/>
                <w:sz w:val="24"/>
                <w:highlight w:val="none"/>
              </w:rPr>
            </w:pPr>
          </w:p>
        </w:tc>
      </w:tr>
      <w:tr w14:paraId="5CD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151DB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44C0F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AEAF0E4">
            <w:pPr>
              <w:pageBreakBefore w:val="0"/>
              <w:kinsoku/>
              <w:wordWrap w:val="0"/>
              <w:bidi w:val="0"/>
              <w:spacing w:line="400" w:lineRule="atLeast"/>
              <w:rPr>
                <w:rFonts w:hint="default" w:ascii="Times New Roman" w:hAnsi="Times New Roman" w:cs="Times New Roman"/>
                <w:sz w:val="24"/>
                <w:highlight w:val="none"/>
              </w:rPr>
            </w:pPr>
          </w:p>
        </w:tc>
      </w:tr>
      <w:tr w14:paraId="69E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76AA04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D78DF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0D323465">
            <w:pPr>
              <w:pageBreakBefore w:val="0"/>
              <w:kinsoku/>
              <w:wordWrap w:val="0"/>
              <w:bidi w:val="0"/>
              <w:spacing w:line="400" w:lineRule="atLeast"/>
              <w:rPr>
                <w:rFonts w:hint="default" w:ascii="Times New Roman" w:hAnsi="Times New Roman" w:cs="Times New Roman"/>
                <w:sz w:val="24"/>
                <w:highlight w:val="none"/>
              </w:rPr>
            </w:pPr>
          </w:p>
        </w:tc>
      </w:tr>
      <w:tr w14:paraId="79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7608CD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326F7DE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7104C76">
            <w:pPr>
              <w:pageBreakBefore w:val="0"/>
              <w:kinsoku/>
              <w:wordWrap w:val="0"/>
              <w:bidi w:val="0"/>
              <w:spacing w:line="400" w:lineRule="atLeast"/>
              <w:rPr>
                <w:rFonts w:hint="default" w:ascii="Times New Roman" w:hAnsi="Times New Roman" w:cs="Times New Roman"/>
                <w:sz w:val="24"/>
                <w:highlight w:val="none"/>
              </w:rPr>
            </w:pPr>
          </w:p>
        </w:tc>
      </w:tr>
      <w:tr w14:paraId="48F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FF15B71">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C63A55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C79FD8B">
            <w:pPr>
              <w:pageBreakBefore w:val="0"/>
              <w:kinsoku/>
              <w:wordWrap w:val="0"/>
              <w:bidi w:val="0"/>
              <w:spacing w:line="400" w:lineRule="atLeast"/>
              <w:rPr>
                <w:rFonts w:hint="default" w:ascii="Times New Roman" w:hAnsi="Times New Roman" w:cs="Times New Roman"/>
                <w:sz w:val="24"/>
                <w:highlight w:val="none"/>
              </w:rPr>
            </w:pPr>
          </w:p>
        </w:tc>
      </w:tr>
      <w:tr w14:paraId="50B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AB7F4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4A299D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6C582A">
            <w:pPr>
              <w:pageBreakBefore w:val="0"/>
              <w:kinsoku/>
              <w:wordWrap w:val="0"/>
              <w:bidi w:val="0"/>
              <w:spacing w:line="400" w:lineRule="atLeast"/>
              <w:rPr>
                <w:rFonts w:hint="default" w:ascii="Times New Roman" w:hAnsi="Times New Roman" w:cs="Times New Roman"/>
                <w:sz w:val="24"/>
                <w:highlight w:val="none"/>
              </w:rPr>
            </w:pPr>
          </w:p>
        </w:tc>
      </w:tr>
      <w:tr w14:paraId="298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5C1F80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B9797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EF10763">
            <w:pPr>
              <w:pageBreakBefore w:val="0"/>
              <w:kinsoku/>
              <w:wordWrap w:val="0"/>
              <w:bidi w:val="0"/>
              <w:spacing w:line="400" w:lineRule="atLeast"/>
              <w:rPr>
                <w:rFonts w:hint="default" w:ascii="Times New Roman" w:hAnsi="Times New Roman" w:cs="Times New Roman"/>
                <w:sz w:val="24"/>
                <w:highlight w:val="none"/>
              </w:rPr>
            </w:pPr>
          </w:p>
        </w:tc>
      </w:tr>
      <w:tr w14:paraId="0E1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00EE4E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37F87E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5460D216">
            <w:pPr>
              <w:pageBreakBefore w:val="0"/>
              <w:kinsoku/>
              <w:wordWrap w:val="0"/>
              <w:bidi w:val="0"/>
              <w:spacing w:line="400" w:lineRule="atLeast"/>
              <w:rPr>
                <w:rFonts w:hint="default" w:ascii="Times New Roman" w:hAnsi="Times New Roman" w:cs="Times New Roman"/>
                <w:sz w:val="24"/>
                <w:highlight w:val="none"/>
              </w:rPr>
            </w:pPr>
          </w:p>
        </w:tc>
      </w:tr>
    </w:tbl>
    <w:p w14:paraId="7D309732">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06" w:name="_Toc234833235"/>
      <w:bookmarkStart w:id="1407" w:name="_Toc30601"/>
      <w:bookmarkStart w:id="1408" w:name="_Toc28190"/>
      <w:bookmarkStart w:id="1409" w:name="_Toc22982"/>
      <w:r>
        <w:rPr>
          <w:rFonts w:hint="default" w:ascii="Times New Roman" w:hAnsi="Times New Roman" w:eastAsia="黑体" w:cs="Times New Roman"/>
          <w:b w:val="0"/>
          <w:sz w:val="24"/>
          <w:szCs w:val="24"/>
          <w:highlight w:val="none"/>
        </w:rPr>
        <w:t>附件五</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主要机械设备和试验检测设备最低要求</w:t>
      </w:r>
      <w:r>
        <w:rPr>
          <w:rFonts w:hint="default" w:ascii="Times New Roman" w:hAnsi="Times New Roman" w:cs="Times New Roman"/>
          <w:sz w:val="24"/>
          <w:szCs w:val="24"/>
          <w:highlight w:val="none"/>
          <w:vertAlign w:val="superscript"/>
        </w:rPr>
        <w:footnoteReference w:id="31"/>
      </w:r>
      <w:bookmarkEnd w:id="1406"/>
      <w:bookmarkEnd w:id="1407"/>
      <w:bookmarkEnd w:id="1408"/>
      <w:bookmarkEnd w:id="1409"/>
    </w:p>
    <w:p w14:paraId="6A1AC778">
      <w:pPr>
        <w:pageBreakBefore w:val="0"/>
        <w:kinsoku/>
        <w:wordWrap w:val="0"/>
        <w:bidi w:val="0"/>
        <w:adjustRightInd w:val="0"/>
        <w:snapToGrid w:val="0"/>
        <w:spacing w:line="400" w:lineRule="atLeast"/>
        <w:rPr>
          <w:rFonts w:hint="default" w:ascii="Times New Roman" w:hAnsi="Times New Roman" w:cs="Times New Roman"/>
          <w:bCs/>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155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5A9A87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2745" w:type="dxa"/>
            <w:noWrap w:val="0"/>
            <w:vAlign w:val="center"/>
          </w:tcPr>
          <w:p w14:paraId="15D7CD5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386" w:type="dxa"/>
            <w:noWrap w:val="0"/>
            <w:vAlign w:val="center"/>
          </w:tcPr>
          <w:p w14:paraId="1B736A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194" w:type="dxa"/>
            <w:noWrap w:val="0"/>
            <w:vAlign w:val="center"/>
          </w:tcPr>
          <w:p w14:paraId="6210314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A72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4C80A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6A4C52EB">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127BAC1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311E642D">
            <w:pPr>
              <w:pageBreakBefore w:val="0"/>
              <w:kinsoku/>
              <w:wordWrap w:val="0"/>
              <w:bidi w:val="0"/>
              <w:spacing w:line="400" w:lineRule="atLeast"/>
              <w:rPr>
                <w:rFonts w:hint="default" w:ascii="Times New Roman" w:hAnsi="Times New Roman" w:cs="Times New Roman"/>
                <w:sz w:val="24"/>
                <w:highlight w:val="none"/>
              </w:rPr>
            </w:pPr>
          </w:p>
        </w:tc>
      </w:tr>
      <w:tr w14:paraId="72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26190DB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4C1E3FFE">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7E8127A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0B5AB5AB">
            <w:pPr>
              <w:pageBreakBefore w:val="0"/>
              <w:kinsoku/>
              <w:wordWrap w:val="0"/>
              <w:bidi w:val="0"/>
              <w:spacing w:line="400" w:lineRule="atLeast"/>
              <w:rPr>
                <w:rFonts w:hint="default" w:ascii="Times New Roman" w:hAnsi="Times New Roman" w:cs="Times New Roman"/>
                <w:sz w:val="24"/>
                <w:highlight w:val="none"/>
              </w:rPr>
            </w:pPr>
          </w:p>
        </w:tc>
      </w:tr>
      <w:tr w14:paraId="6445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71888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34EAB116">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376E56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6EDB9E62">
            <w:pPr>
              <w:pageBreakBefore w:val="0"/>
              <w:kinsoku/>
              <w:wordWrap w:val="0"/>
              <w:bidi w:val="0"/>
              <w:spacing w:line="400" w:lineRule="atLeast"/>
              <w:rPr>
                <w:rFonts w:hint="default" w:ascii="Times New Roman" w:hAnsi="Times New Roman" w:cs="Times New Roman"/>
                <w:sz w:val="24"/>
                <w:highlight w:val="none"/>
              </w:rPr>
            </w:pPr>
          </w:p>
        </w:tc>
      </w:tr>
      <w:tr w14:paraId="000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110063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616212F">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CC63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3108765">
            <w:pPr>
              <w:pageBreakBefore w:val="0"/>
              <w:kinsoku/>
              <w:wordWrap w:val="0"/>
              <w:bidi w:val="0"/>
              <w:spacing w:line="400" w:lineRule="atLeast"/>
              <w:rPr>
                <w:rFonts w:hint="default" w:ascii="Times New Roman" w:hAnsi="Times New Roman" w:cs="Times New Roman"/>
                <w:sz w:val="24"/>
                <w:highlight w:val="none"/>
              </w:rPr>
            </w:pPr>
          </w:p>
        </w:tc>
      </w:tr>
      <w:tr w14:paraId="598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3193A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003FBD">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D2EA3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8F30DC5">
            <w:pPr>
              <w:pageBreakBefore w:val="0"/>
              <w:kinsoku/>
              <w:wordWrap w:val="0"/>
              <w:bidi w:val="0"/>
              <w:spacing w:line="400" w:lineRule="atLeast"/>
              <w:rPr>
                <w:rFonts w:hint="default" w:ascii="Times New Roman" w:hAnsi="Times New Roman" w:cs="Times New Roman"/>
                <w:sz w:val="24"/>
                <w:highlight w:val="none"/>
              </w:rPr>
            </w:pPr>
          </w:p>
        </w:tc>
      </w:tr>
      <w:tr w14:paraId="6D0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F043EC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EBBC26">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81276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8C0B8FA">
            <w:pPr>
              <w:pageBreakBefore w:val="0"/>
              <w:kinsoku/>
              <w:wordWrap w:val="0"/>
              <w:bidi w:val="0"/>
              <w:spacing w:line="400" w:lineRule="atLeast"/>
              <w:rPr>
                <w:rFonts w:hint="default" w:ascii="Times New Roman" w:hAnsi="Times New Roman" w:cs="Times New Roman"/>
                <w:sz w:val="24"/>
                <w:highlight w:val="none"/>
              </w:rPr>
            </w:pPr>
          </w:p>
        </w:tc>
      </w:tr>
      <w:tr w14:paraId="03D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F8B7D7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6922217">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F9B59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ECD5B77">
            <w:pPr>
              <w:pageBreakBefore w:val="0"/>
              <w:kinsoku/>
              <w:wordWrap w:val="0"/>
              <w:bidi w:val="0"/>
              <w:spacing w:line="400" w:lineRule="atLeast"/>
              <w:rPr>
                <w:rFonts w:hint="default" w:ascii="Times New Roman" w:hAnsi="Times New Roman" w:cs="Times New Roman"/>
                <w:sz w:val="24"/>
                <w:highlight w:val="none"/>
              </w:rPr>
            </w:pPr>
          </w:p>
        </w:tc>
      </w:tr>
      <w:tr w14:paraId="5B2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3C1B17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6178F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B3ED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4EE217A">
            <w:pPr>
              <w:pageBreakBefore w:val="0"/>
              <w:kinsoku/>
              <w:wordWrap w:val="0"/>
              <w:bidi w:val="0"/>
              <w:spacing w:line="400" w:lineRule="atLeast"/>
              <w:rPr>
                <w:rFonts w:hint="default" w:ascii="Times New Roman" w:hAnsi="Times New Roman" w:cs="Times New Roman"/>
                <w:sz w:val="24"/>
                <w:highlight w:val="none"/>
              </w:rPr>
            </w:pPr>
          </w:p>
        </w:tc>
      </w:tr>
      <w:tr w14:paraId="1C9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A121E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45E446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030699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3B68B85">
            <w:pPr>
              <w:pageBreakBefore w:val="0"/>
              <w:kinsoku/>
              <w:wordWrap w:val="0"/>
              <w:bidi w:val="0"/>
              <w:spacing w:line="400" w:lineRule="atLeast"/>
              <w:rPr>
                <w:rFonts w:hint="default" w:ascii="Times New Roman" w:hAnsi="Times New Roman" w:cs="Times New Roman"/>
                <w:sz w:val="24"/>
                <w:highlight w:val="none"/>
              </w:rPr>
            </w:pPr>
          </w:p>
        </w:tc>
      </w:tr>
      <w:tr w14:paraId="357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C2463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872E53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93E9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138AA0">
            <w:pPr>
              <w:pageBreakBefore w:val="0"/>
              <w:kinsoku/>
              <w:wordWrap w:val="0"/>
              <w:bidi w:val="0"/>
              <w:spacing w:line="400" w:lineRule="atLeast"/>
              <w:rPr>
                <w:rFonts w:hint="default" w:ascii="Times New Roman" w:hAnsi="Times New Roman" w:cs="Times New Roman"/>
                <w:sz w:val="24"/>
                <w:highlight w:val="none"/>
              </w:rPr>
            </w:pPr>
          </w:p>
        </w:tc>
      </w:tr>
      <w:tr w14:paraId="70B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7B40A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865CE58">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2A36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2D0C24">
            <w:pPr>
              <w:pageBreakBefore w:val="0"/>
              <w:kinsoku/>
              <w:wordWrap w:val="0"/>
              <w:bidi w:val="0"/>
              <w:spacing w:line="400" w:lineRule="atLeast"/>
              <w:rPr>
                <w:rFonts w:hint="default" w:ascii="Times New Roman" w:hAnsi="Times New Roman" w:cs="Times New Roman"/>
                <w:sz w:val="24"/>
                <w:highlight w:val="none"/>
              </w:rPr>
            </w:pPr>
          </w:p>
        </w:tc>
      </w:tr>
      <w:tr w14:paraId="5AC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0ABD32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156BE0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274AC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BD0E995">
            <w:pPr>
              <w:pageBreakBefore w:val="0"/>
              <w:kinsoku/>
              <w:wordWrap w:val="0"/>
              <w:bidi w:val="0"/>
              <w:spacing w:line="400" w:lineRule="atLeast"/>
              <w:rPr>
                <w:rFonts w:hint="default" w:ascii="Times New Roman" w:hAnsi="Times New Roman" w:cs="Times New Roman"/>
                <w:sz w:val="24"/>
                <w:highlight w:val="none"/>
              </w:rPr>
            </w:pPr>
          </w:p>
        </w:tc>
      </w:tr>
      <w:tr w14:paraId="067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80C8F7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655823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DBA29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6C67BB1">
            <w:pPr>
              <w:pageBreakBefore w:val="0"/>
              <w:kinsoku/>
              <w:wordWrap w:val="0"/>
              <w:bidi w:val="0"/>
              <w:spacing w:line="400" w:lineRule="atLeast"/>
              <w:rPr>
                <w:rFonts w:hint="default" w:ascii="Times New Roman" w:hAnsi="Times New Roman" w:cs="Times New Roman"/>
                <w:sz w:val="24"/>
                <w:highlight w:val="none"/>
              </w:rPr>
            </w:pPr>
          </w:p>
        </w:tc>
      </w:tr>
      <w:tr w14:paraId="34A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BD4F3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7F115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42073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2C4213">
            <w:pPr>
              <w:pageBreakBefore w:val="0"/>
              <w:kinsoku/>
              <w:wordWrap w:val="0"/>
              <w:bidi w:val="0"/>
              <w:spacing w:line="400" w:lineRule="atLeast"/>
              <w:rPr>
                <w:rFonts w:hint="default" w:ascii="Times New Roman" w:hAnsi="Times New Roman" w:cs="Times New Roman"/>
                <w:sz w:val="24"/>
                <w:highlight w:val="none"/>
              </w:rPr>
            </w:pPr>
          </w:p>
        </w:tc>
      </w:tr>
      <w:tr w14:paraId="332D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A0A9F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C9DCA9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9DEE9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F58D2B9">
            <w:pPr>
              <w:pageBreakBefore w:val="0"/>
              <w:kinsoku/>
              <w:wordWrap w:val="0"/>
              <w:bidi w:val="0"/>
              <w:spacing w:line="400" w:lineRule="atLeast"/>
              <w:rPr>
                <w:rFonts w:hint="default" w:ascii="Times New Roman" w:hAnsi="Times New Roman" w:cs="Times New Roman"/>
                <w:sz w:val="24"/>
                <w:highlight w:val="none"/>
              </w:rPr>
            </w:pPr>
          </w:p>
        </w:tc>
      </w:tr>
    </w:tbl>
    <w:p w14:paraId="7D938BAF">
      <w:pPr>
        <w:pageBreakBefore w:val="0"/>
        <w:kinsoku/>
        <w:wordWrap w:val="0"/>
        <w:bidi w:val="0"/>
        <w:spacing w:line="400" w:lineRule="atLeast"/>
        <w:rPr>
          <w:rFonts w:hint="default" w:ascii="Times New Roman" w:hAnsi="Times New Roman" w:eastAsia="黑体" w:cs="Times New Roman"/>
          <w:sz w:val="24"/>
          <w:highlight w:val="none"/>
        </w:rPr>
      </w:pPr>
    </w:p>
    <w:p w14:paraId="29ED7659">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bookmarkStart w:id="1410" w:name="_Toc13117"/>
      <w:bookmarkStart w:id="1411" w:name="_Toc234833236"/>
      <w:bookmarkStart w:id="1412" w:name="_Toc9623"/>
      <w:bookmarkStart w:id="1413" w:name="_Toc4634"/>
      <w:r>
        <w:rPr>
          <w:rFonts w:hint="default" w:ascii="Times New Roman" w:hAnsi="Times New Roman" w:eastAsia="黑体" w:cs="Times New Roman"/>
          <w:b w:val="0"/>
          <w:sz w:val="24"/>
          <w:szCs w:val="24"/>
          <w:highlight w:val="none"/>
        </w:rPr>
        <w:t>附件六</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项目经理委任书</w:t>
      </w:r>
      <w:bookmarkEnd w:id="1410"/>
      <w:bookmarkEnd w:id="1411"/>
      <w:bookmarkEnd w:id="1412"/>
      <w:bookmarkEnd w:id="1413"/>
    </w:p>
    <w:p w14:paraId="4EFA96FF">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u w:val="single"/>
        </w:rPr>
      </w:pPr>
      <w:r>
        <w:rPr>
          <w:rFonts w:hint="default" w:ascii="Times New Roman" w:hAnsi="Times New Roman" w:eastAsia="黑体" w:cs="Times New Roman"/>
          <w:sz w:val="28"/>
          <w:szCs w:val="28"/>
          <w:highlight w:val="none"/>
          <w:u w:val="single"/>
        </w:rPr>
        <w:t>（承包人全称）</w:t>
      </w:r>
    </w:p>
    <w:p w14:paraId="01C9E49C">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（合同工程名称） </w:t>
      </w:r>
      <w:r>
        <w:rPr>
          <w:rFonts w:hint="default" w:ascii="Times New Roman" w:hAnsi="Times New Roman" w:eastAsia="黑体" w:cs="Times New Roman"/>
          <w:sz w:val="28"/>
          <w:szCs w:val="28"/>
          <w:highlight w:val="none"/>
        </w:rPr>
        <w:t>项目经理委任书</w:t>
      </w:r>
    </w:p>
    <w:p w14:paraId="1514F906">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346F1C8B">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0C45F71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（发包人全称）</w:t>
      </w:r>
    </w:p>
    <w:p w14:paraId="36D5DFF1">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（承包人全称） </w:t>
      </w: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代表本单位委任</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为</w:t>
      </w:r>
      <w:r>
        <w:rPr>
          <w:rFonts w:hint="default" w:ascii="Times New Roman" w:hAnsi="Times New Roman" w:cs="Times New Roman"/>
          <w:sz w:val="24"/>
          <w:highlight w:val="none"/>
          <w:u w:val="single"/>
        </w:rPr>
        <w:t>（合同工程名称）</w:t>
      </w:r>
      <w:r>
        <w:rPr>
          <w:rFonts w:hint="default" w:ascii="Times New Roman" w:hAnsi="Times New Roman" w:cs="Times New Roman"/>
          <w:sz w:val="24"/>
          <w:highlight w:val="none"/>
        </w:rPr>
        <w:t>的项目经理。凡本合同执行中的有关技术、工程进度、现场管理、质量检验、结算与支付等方面工作，由</w:t>
      </w:r>
      <w:r>
        <w:rPr>
          <w:rFonts w:hint="default" w:ascii="Times New Roman" w:hAnsi="Times New Roman" w:cs="Times New Roman"/>
          <w:sz w:val="24"/>
          <w:highlight w:val="none"/>
          <w:u w:val="single"/>
        </w:rPr>
        <w:t xml:space="preserve">  （姓名） </w:t>
      </w:r>
      <w:r>
        <w:rPr>
          <w:rFonts w:hint="default" w:ascii="Times New Roman" w:hAnsi="Times New Roman" w:cs="Times New Roman"/>
          <w:sz w:val="24"/>
          <w:highlight w:val="none"/>
        </w:rPr>
        <w:t>代表本单位全面负责。</w:t>
      </w:r>
    </w:p>
    <w:p w14:paraId="412D9C03">
      <w:pPr>
        <w:pageBreakBefore w:val="0"/>
        <w:kinsoku/>
        <w:wordWrap w:val="0"/>
        <w:bidi w:val="0"/>
        <w:spacing w:line="400" w:lineRule="atLeast"/>
        <w:ind w:firstLine="616" w:firstLineChars="257"/>
        <w:rPr>
          <w:rFonts w:hint="default" w:ascii="Times New Roman" w:hAnsi="Times New Roman" w:cs="Times New Roman"/>
          <w:sz w:val="24"/>
          <w:highlight w:val="none"/>
        </w:rPr>
      </w:pPr>
    </w:p>
    <w:p w14:paraId="77143B22">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4F28E65">
      <w:pPr>
        <w:pageBreakBefore w:val="0"/>
        <w:kinsoku/>
        <w:wordWrap w:val="0"/>
        <w:bidi w:val="0"/>
        <w:snapToGrid w:val="0"/>
        <w:spacing w:line="400" w:lineRule="atLeast"/>
        <w:ind w:firstLine="4603" w:firstLineChars="1918"/>
        <w:jc w:val="left"/>
        <w:rPr>
          <w:rFonts w:hint="default" w:ascii="Times New Roman" w:hAnsi="Times New Roman" w:cs="Times New Roman"/>
          <w:sz w:val="24"/>
          <w:highlight w:val="none"/>
          <w:u w:val="singl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        </w:t>
      </w:r>
    </w:p>
    <w:p w14:paraId="1086F67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（姓名）       </w:t>
      </w:r>
    </w:p>
    <w:p w14:paraId="1FE3335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（签字）       </w:t>
      </w:r>
    </w:p>
    <w:p w14:paraId="43321F63">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E4C5CE8">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533EA836">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p>
    <w:p w14:paraId="17E74D96">
      <w:pPr>
        <w:pageBreakBefore w:val="0"/>
        <w:kinsoku/>
        <w:wordWrap w:val="0"/>
        <w:bidi w:val="0"/>
        <w:snapToGrid w:val="0"/>
        <w:spacing w:line="400" w:lineRule="atLeast"/>
        <w:rPr>
          <w:rFonts w:hint="default" w:ascii="Times New Roman" w:hAnsi="Times New Roman" w:cs="Times New Roman"/>
          <w:sz w:val="24"/>
          <w:highlight w:val="none"/>
        </w:rPr>
      </w:pPr>
    </w:p>
    <w:p w14:paraId="243A9112">
      <w:pPr>
        <w:pageBreakBefore w:val="0"/>
        <w:kinsoku/>
        <w:wordWrap w:val="0"/>
        <w:bidi w:val="0"/>
        <w:snapToGrid w:val="0"/>
        <w:spacing w:line="400" w:lineRule="atLeast"/>
        <w:rPr>
          <w:rFonts w:hint="default" w:ascii="Times New Roman" w:hAnsi="Times New Roman" w:eastAsia="黑体" w:cs="Times New Roman"/>
          <w:bCs/>
          <w:kern w:val="44"/>
          <w:sz w:val="24"/>
          <w:highlight w:val="none"/>
        </w:rPr>
      </w:pPr>
      <w:r>
        <w:rPr>
          <w:rFonts w:hint="default" w:ascii="Times New Roman" w:hAnsi="Times New Roman" w:cs="Times New Roman"/>
          <w:sz w:val="24"/>
          <w:highlight w:val="none"/>
        </w:rPr>
        <w:t>抄送：</w:t>
      </w:r>
      <w:r>
        <w:rPr>
          <w:rFonts w:hint="default" w:ascii="Times New Roman" w:hAnsi="Times New Roman" w:cs="Times New Roman"/>
          <w:sz w:val="24"/>
          <w:highlight w:val="none"/>
          <w:u w:val="single"/>
        </w:rPr>
        <w:t xml:space="preserve">  （监理人）  </w:t>
      </w:r>
      <w:r>
        <w:rPr>
          <w:rFonts w:hint="default" w:ascii="Times New Roman" w:hAnsi="Times New Roman" w:cs="Times New Roman"/>
          <w:sz w:val="24"/>
          <w:highlight w:val="none"/>
        </w:rPr>
        <w:br w:type="page"/>
      </w:r>
      <w:r>
        <w:rPr>
          <w:rFonts w:hint="default" w:ascii="Times New Roman" w:hAnsi="Times New Roman" w:eastAsia="黑体" w:cs="Times New Roman"/>
          <w:bCs/>
          <w:kern w:val="44"/>
          <w:sz w:val="24"/>
          <w:highlight w:val="none"/>
        </w:rPr>
        <w:t>附件七 履约保证金格式</w:t>
      </w:r>
    </w:p>
    <w:p w14:paraId="0E3DB1D1">
      <w:pPr>
        <w:pageBreakBefore w:val="0"/>
        <w:kinsoku/>
        <w:wordWrap w:val="0"/>
        <w:bidi w:val="0"/>
        <w:spacing w:line="400" w:lineRule="atLeast"/>
        <w:rPr>
          <w:rFonts w:hint="default" w:ascii="Times New Roman" w:hAnsi="Times New Roman" w:eastAsia="黑体" w:cs="Times New Roman"/>
          <w:sz w:val="24"/>
          <w:highlight w:val="none"/>
        </w:rPr>
      </w:pPr>
      <w:r>
        <w:rPr>
          <w:rFonts w:hint="default" w:ascii="Times New Roman" w:hAnsi="Times New Roman" w:cs="Times New Roman"/>
          <w:sz w:val="24"/>
          <w:highlight w:val="none"/>
        </w:rPr>
        <w:t>如采用银行保函，格式如下。</w:t>
      </w:r>
    </w:p>
    <w:p w14:paraId="742BD4A0">
      <w:pPr>
        <w:pageBreakBefore w:val="0"/>
        <w:kinsoku/>
        <w:wordWrap w:val="0"/>
        <w:bidi w:val="0"/>
        <w:spacing w:line="400" w:lineRule="atLeast"/>
        <w:ind w:firstLine="3360" w:firstLineChars="1200"/>
        <w:rPr>
          <w:rFonts w:hint="default" w:ascii="Times New Roman" w:hAnsi="Times New Roman" w:eastAsia="黑体" w:cs="Times New Roman"/>
          <w:sz w:val="28"/>
          <w:szCs w:val="28"/>
          <w:highlight w:val="none"/>
        </w:rPr>
      </w:pPr>
    </w:p>
    <w:p w14:paraId="0704B6D2">
      <w:pPr>
        <w:pageBreakBefore w:val="0"/>
        <w:kinsoku/>
        <w:wordWrap w:val="0"/>
        <w:bidi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履约保证金</w:t>
      </w:r>
    </w:p>
    <w:p w14:paraId="7E49EFF8">
      <w:pPr>
        <w:pageBreakBefore w:val="0"/>
        <w:kinsoku/>
        <w:wordWrap w:val="0"/>
        <w:bidi w:val="0"/>
        <w:spacing w:line="400" w:lineRule="atLeast"/>
        <w:rPr>
          <w:rFonts w:hint="default" w:ascii="Times New Roman" w:hAnsi="Times New Roman" w:cs="Times New Roman"/>
          <w:sz w:val="24"/>
          <w:highlight w:val="none"/>
        </w:rPr>
      </w:pPr>
    </w:p>
    <w:p w14:paraId="5B9E8E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w:t>
      </w:r>
    </w:p>
    <w:p w14:paraId="477025DD">
      <w:pPr>
        <w:pageBreakBefore w:val="0"/>
        <w:kinsoku/>
        <w:wordWrap w:val="0"/>
        <w:bidi w:val="0"/>
        <w:spacing w:line="400" w:lineRule="atLeast"/>
        <w:rPr>
          <w:rFonts w:hint="default" w:ascii="Times New Roman" w:hAnsi="Times New Roman" w:cs="Times New Roman"/>
          <w:sz w:val="24"/>
          <w:highlight w:val="none"/>
        </w:rPr>
      </w:pPr>
    </w:p>
    <w:p w14:paraId="7A25DE8B">
      <w:pPr>
        <w:pageBreakBefore w:val="0"/>
        <w:kinsoku/>
        <w:wordWrap w:val="0"/>
        <w:bidi w:val="0"/>
        <w:spacing w:line="400" w:lineRule="atLeast"/>
        <w:ind w:firstLine="600" w:firstLineChars="25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标段施工的投标。我方愿意无条件地、不可撤销地就承包人履行与你方订立的合同，向你方提供担保。</w:t>
      </w:r>
    </w:p>
    <w:p w14:paraId="734129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担保金额人民币（大写）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F0570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担保有效期自发包人与承包人签订的合同生效之日起至发包人签发交工验收证书且承包人按照合同约定缴纳质量保证金之日止。</w:t>
      </w:r>
      <w:r>
        <w:rPr>
          <w:rStyle w:val="48"/>
          <w:rFonts w:hint="default" w:ascii="Times New Roman" w:hAnsi="Times New Roman" w:eastAsia="黑体" w:cs="Times New Roman"/>
          <w:sz w:val="28"/>
          <w:szCs w:val="28"/>
          <w:highlight w:val="none"/>
        </w:rPr>
        <w:footnoteReference w:id="32"/>
      </w:r>
    </w:p>
    <w:p w14:paraId="5C0F0B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2329F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发包人和承包人按合同条款第15条变更合同时，无论我方是否收到该变更，我方承担本担保规定的义务不变。</w:t>
      </w:r>
    </w:p>
    <w:p w14:paraId="2D838B64">
      <w:pPr>
        <w:pageBreakBefore w:val="0"/>
        <w:kinsoku/>
        <w:wordWrap w:val="0"/>
        <w:bidi w:val="0"/>
        <w:spacing w:line="400" w:lineRule="atLeast"/>
        <w:rPr>
          <w:rFonts w:hint="default" w:ascii="Times New Roman" w:hAnsi="Times New Roman" w:cs="Times New Roman"/>
          <w:sz w:val="24"/>
          <w:highlight w:val="none"/>
        </w:rPr>
      </w:pPr>
    </w:p>
    <w:p w14:paraId="5CD34BD7">
      <w:pPr>
        <w:pageBreakBefore w:val="0"/>
        <w:kinsoku/>
        <w:wordWrap w:val="0"/>
        <w:bidi w:val="0"/>
        <w:spacing w:line="400" w:lineRule="atLeast"/>
        <w:rPr>
          <w:rFonts w:hint="default" w:ascii="Times New Roman" w:hAnsi="Times New Roman" w:cs="Times New Roman"/>
          <w:sz w:val="24"/>
          <w:highlight w:val="none"/>
        </w:rPr>
      </w:pPr>
    </w:p>
    <w:p w14:paraId="4699D46B">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3CD55F4">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35F3E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7525A239">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03560047">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0EE09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D1B20B0">
      <w:pPr>
        <w:pageBreakBefore w:val="0"/>
        <w:kinsoku/>
        <w:wordWrap w:val="0"/>
        <w:bidi w:val="0"/>
        <w:spacing w:line="400" w:lineRule="atLeast"/>
        <w:ind w:firstLine="4216" w:firstLineChars="1757"/>
        <w:jc w:val="righ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534CAB98">
      <w:pPr>
        <w:pageBreakBefore w:val="0"/>
        <w:kinsoku/>
        <w:wordWrap w:val="0"/>
        <w:bidi w:val="0"/>
        <w:spacing w:line="400" w:lineRule="atLeast"/>
        <w:rPr>
          <w:rFonts w:hint="default" w:ascii="Times New Roman" w:hAnsi="Times New Roman" w:cs="Times New Roman"/>
          <w:sz w:val="24"/>
          <w:highlight w:val="none"/>
        </w:rPr>
      </w:pPr>
    </w:p>
    <w:p w14:paraId="08E4542C">
      <w:pPr>
        <w:pageBreakBefore w:val="0"/>
        <w:kinsoku/>
        <w:wordWrap w:val="0"/>
        <w:bidi w:val="0"/>
        <w:spacing w:line="400" w:lineRule="atLeast"/>
        <w:rPr>
          <w:rFonts w:hint="default" w:ascii="Times New Roman" w:hAnsi="Times New Roman" w:eastAsia="黑体" w:cs="Times New Roman"/>
          <w:sz w:val="24"/>
          <w:highlight w:val="none"/>
        </w:rPr>
      </w:pPr>
    </w:p>
    <w:p w14:paraId="7C48B8BA">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14" w:name="_Toc18852"/>
      <w:bookmarkStart w:id="1415" w:name="_Toc234833238"/>
      <w:bookmarkStart w:id="1416" w:name="_Toc8682"/>
      <w:bookmarkStart w:id="1417" w:name="_Toc24417"/>
      <w:r>
        <w:rPr>
          <w:rFonts w:hint="default" w:ascii="Times New Roman" w:hAnsi="Times New Roman" w:eastAsia="黑体" w:cs="Times New Roman"/>
          <w:b w:val="0"/>
          <w:sz w:val="24"/>
          <w:szCs w:val="24"/>
          <w:highlight w:val="none"/>
        </w:rPr>
        <w:t>附件八</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工程资金监管协议格式</w:t>
      </w:r>
      <w:bookmarkEnd w:id="1414"/>
      <w:bookmarkEnd w:id="1415"/>
      <w:bookmarkEnd w:id="1416"/>
      <w:bookmarkEnd w:id="1417"/>
    </w:p>
    <w:p w14:paraId="5C49115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（发包人与承包人签订合同协议书时应与发包人指定的银行签署工程资金监管协议，工程资金监管协议内容在保证本项目资金有效监管的前提下由三方共同商定）</w:t>
      </w:r>
    </w:p>
    <w:p w14:paraId="652D803A">
      <w:pPr>
        <w:pageBreakBefore w:val="0"/>
        <w:kinsoku/>
        <w:wordWrap w:val="0"/>
        <w:bidi w:val="0"/>
        <w:spacing w:line="380" w:lineRule="atLeast"/>
        <w:rPr>
          <w:rFonts w:hint="default" w:ascii="Times New Roman" w:hAnsi="Times New Roman" w:eastAsia="黑体" w:cs="Times New Roman"/>
          <w:sz w:val="24"/>
          <w:highlight w:val="none"/>
        </w:rPr>
      </w:pPr>
    </w:p>
    <w:p w14:paraId="12CE4473">
      <w:pPr>
        <w:pageBreakBefore w:val="0"/>
        <w:kinsoku/>
        <w:wordWrap w:val="0"/>
        <w:bidi w:val="0"/>
        <w:spacing w:line="38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工程资金监管协议</w:t>
      </w:r>
    </w:p>
    <w:p w14:paraId="24AECA0B">
      <w:pPr>
        <w:pageBreakBefore w:val="0"/>
        <w:kinsoku/>
        <w:wordWrap w:val="0"/>
        <w:bidi w:val="0"/>
        <w:spacing w:line="380" w:lineRule="atLeast"/>
        <w:jc w:val="center"/>
        <w:rPr>
          <w:rFonts w:hint="default" w:ascii="Times New Roman" w:hAnsi="Times New Roman" w:eastAsia="黑体" w:cs="Times New Roman"/>
          <w:sz w:val="28"/>
          <w:szCs w:val="28"/>
          <w:highlight w:val="none"/>
        </w:rPr>
      </w:pPr>
    </w:p>
    <w:p w14:paraId="260BF304">
      <w:pPr>
        <w:pageBreakBefore w:val="0"/>
        <w:kinsoku/>
        <w:wordWrap w:val="0"/>
        <w:bidi w:val="0"/>
        <w:spacing w:line="380" w:lineRule="atLeast"/>
        <w:rPr>
          <w:rFonts w:hint="default" w:ascii="Times New Roman" w:hAnsi="Times New Roman" w:cs="Times New Roman"/>
          <w:sz w:val="24"/>
          <w:highlight w:val="none"/>
        </w:rPr>
      </w:pPr>
      <w:bookmarkStart w:id="1418" w:name="_Toc234833239"/>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甲方</w:t>
      </w:r>
      <w:r>
        <w:rPr>
          <w:rFonts w:hint="eastAsia" w:ascii="宋体" w:hAnsi="宋体" w:eastAsia="宋体" w:cs="宋体"/>
          <w:sz w:val="24"/>
          <w:highlight w:val="none"/>
        </w:rPr>
        <w:t>”</w:t>
      </w:r>
      <w:r>
        <w:rPr>
          <w:rFonts w:hint="default" w:ascii="Times New Roman" w:hAnsi="Times New Roman" w:cs="Times New Roman"/>
          <w:sz w:val="24"/>
          <w:highlight w:val="none"/>
        </w:rPr>
        <w:t>）</w:t>
      </w:r>
      <w:bookmarkEnd w:id="1418"/>
    </w:p>
    <w:p w14:paraId="2FADE895">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0BCEA946">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4F294A5B">
      <w:pPr>
        <w:pageBreakBefore w:val="0"/>
        <w:kinsoku/>
        <w:wordWrap w:val="0"/>
        <w:bidi w:val="0"/>
        <w:spacing w:line="380" w:lineRule="atLeast"/>
        <w:jc w:val="left"/>
        <w:rPr>
          <w:rFonts w:hint="default" w:ascii="Times New Roman" w:hAnsi="Times New Roman" w:cs="Times New Roman"/>
          <w:sz w:val="24"/>
          <w:highlight w:val="none"/>
        </w:rPr>
      </w:pPr>
    </w:p>
    <w:p w14:paraId="6E50190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为了促进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（项目名称）的顺利实施，管好用好建设资金，确保工程资金专款专用，同时为承包人提供便捷有效的银行业务服务，根据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（项目名称）合同条款有关规定，经甲、乙、丙三方协商，达成协议如下：</w:t>
      </w:r>
    </w:p>
    <w:p w14:paraId="5AA37DF5">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资金管理的内容</w:t>
      </w:r>
    </w:p>
    <w:p w14:paraId="3D8DDC9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（1）乙方为完成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（项目名称）工程成立的项目经理部在丙方开设基本结算户；</w:t>
      </w:r>
    </w:p>
    <w:p w14:paraId="5880587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（2）甲方应按合同规定将工程款汇入乙方在丙方开设的账户；</w:t>
      </w:r>
    </w:p>
    <w:p w14:paraId="04564FB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（3）乙方应将流动资金及甲方所拨付资金专项用于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p>
    <w:p w14:paraId="222653E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（4）丙方应为乙方提供便捷有效的银行业务服务，并接受甲方委托对乙方在丙方开设的基本结算户资金使用情况进行监督。</w:t>
      </w:r>
    </w:p>
    <w:p w14:paraId="520AF01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甲方的权责</w:t>
      </w:r>
    </w:p>
    <w:p w14:paraId="18C6904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（1）按照</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（项目名称）合同有关条款规定的时间和方式，向乙方支付工程款；</w:t>
      </w:r>
    </w:p>
    <w:p w14:paraId="1BB2551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（2）在发现乙方将本项目资金挪用、转移时，甲方有权中止工程支付，直至乙方改正为止；</w:t>
      </w:r>
    </w:p>
    <w:p w14:paraId="37F3583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（3）不定期审查丙方对乙方的资金使用监督情况，如丙方不能履行其责任，甲方有权随时终止本协议；</w:t>
      </w:r>
    </w:p>
    <w:p w14:paraId="666CF40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（4）在乙、丙双方发生争议时，甲方应负责协调、解决。</w:t>
      </w:r>
    </w:p>
    <w:p w14:paraId="5B58C8C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乙方的权责</w:t>
      </w:r>
    </w:p>
    <w:p w14:paraId="6713619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（1）项目经理部成立以后，乙方应尽快在丙方开设基本结算户；</w:t>
      </w:r>
    </w:p>
    <w:p w14:paraId="1F1717D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（2）确保本项目资金专款专用，不发生挪用、转移资金的现象；保证不通过权益转让、抵押、担保承担债务等任何其他方式使用基本结算户的资金；</w:t>
      </w:r>
    </w:p>
    <w:p w14:paraId="41B5747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（3）办理材料、设备等采购业务金额在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万元以上的，应出示购货合同、协议和发票；在办理总额超过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万元以上的采购业务时，应将合同、协议和发票复印件送丙方备案；购买应急材料、设备时可先办理支付手续，但事后必须补备有关资料；</w:t>
      </w:r>
    </w:p>
    <w:p w14:paraId="6D3E38A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（4）用银行转账支票办理支付款项时，必须将转账支票送交丙方，由丙方负责办理支票转付手续；</w:t>
      </w:r>
    </w:p>
    <w:p w14:paraId="3D5B2B7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（5）向分包单位支付工程进度款时，应附甲方批准分包的文件；</w:t>
      </w:r>
    </w:p>
    <w:p w14:paraId="0691195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（6）向上级单位缴纳管理费、机械设备及周转材料租赁摊销费等款项时，应附上级单位出具的转账通知等有关资料，以确保资金专款专用。</w:t>
      </w:r>
    </w:p>
    <w:p w14:paraId="6CFDC4E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丙方的权责</w:t>
      </w:r>
    </w:p>
    <w:p w14:paraId="7E24A5D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（1）成立</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（项目名称）工程资金管理服务小组，明确业务流程，提高工作效率，杜绝</w:t>
      </w:r>
      <w:r>
        <w:rPr>
          <w:rFonts w:hint="eastAsia" w:ascii="宋体" w:hAnsi="宋体" w:eastAsia="宋体" w:cs="宋体"/>
          <w:sz w:val="24"/>
          <w:highlight w:val="none"/>
        </w:rPr>
        <w:t>“</w:t>
      </w:r>
      <w:r>
        <w:rPr>
          <w:rFonts w:hint="default" w:ascii="Times New Roman" w:hAnsi="Times New Roman" w:cs="Times New Roman"/>
          <w:sz w:val="24"/>
          <w:highlight w:val="none"/>
        </w:rPr>
        <w:t>压票</w:t>
      </w:r>
      <w:r>
        <w:rPr>
          <w:rFonts w:hint="eastAsia" w:ascii="宋体" w:hAnsi="宋体" w:eastAsia="宋体" w:cs="宋体"/>
          <w:sz w:val="24"/>
          <w:highlight w:val="none"/>
        </w:rPr>
        <w:t>”</w:t>
      </w:r>
      <w:r>
        <w:rPr>
          <w:rFonts w:hint="default" w:ascii="Times New Roman" w:hAnsi="Times New Roman" w:cs="Times New Roman"/>
          <w:sz w:val="24"/>
          <w:highlight w:val="none"/>
        </w:rPr>
        <w:t>现象；</w:t>
      </w:r>
    </w:p>
    <w:p w14:paraId="7A2CB77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w:t>
      </w:r>
      <w:r>
        <w:rPr>
          <w:rFonts w:hint="default" w:ascii="Times New Roman" w:hAnsi="Times New Roman" w:cs="Times New Roman"/>
          <w:spacing w:val="-6"/>
          <w:sz w:val="24"/>
          <w:highlight w:val="none"/>
        </w:rPr>
        <w:t>根据乙方提供的购货合同、协议和发票，检查其所购材料、设备是否用于</w:t>
      </w:r>
      <w:r>
        <w:rPr>
          <w:rFonts w:hint="default" w:ascii="Times New Roman" w:hAnsi="Times New Roman" w:cs="Times New Roman"/>
          <w:spacing w:val="-6"/>
          <w:sz w:val="24"/>
          <w:highlight w:val="none"/>
          <w:u w:val="single"/>
        </w:rPr>
        <w:t xml:space="preserve">   </w:t>
      </w:r>
      <w:r>
        <w:rPr>
          <w:rFonts w:hint="default" w:ascii="Times New Roman" w:hAnsi="Times New Roman" w:cs="Times New Roman"/>
          <w:sz w:val="24"/>
          <w:highlight w:val="none"/>
        </w:rPr>
        <w:t>（项目名称）工程建设，对本标段以外的购货款项，有权拒绝办理，并及时报告甲方；</w:t>
      </w:r>
    </w:p>
    <w:p w14:paraId="330013B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（3）根据乙方与分包单位签订的合同及支付文件，检查其支付款项是否符合有关条件，向分包单位以外单位的支付有权拒绝办理，并及时报告甲方；</w:t>
      </w:r>
    </w:p>
    <w:p w14:paraId="09CD7D9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3AEACEA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（5）定期将乙方前一个周期的支付情况，整理后书面报送甲方；乙方复印备案的材料一并送甲方。</w:t>
      </w:r>
    </w:p>
    <w:p w14:paraId="01F2B84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 甲、乙、丙三方都应履行保密责任，不得将其他两方的业务情况透露给三方以外的其他单位或个人。</w:t>
      </w:r>
    </w:p>
    <w:p w14:paraId="66E2D74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 本协议有效期自乙方在丙方开户起，至工程交工验收甲方向乙方颁发交工验收证书后结束。</w:t>
      </w:r>
    </w:p>
    <w:p w14:paraId="3E3179C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 本协议未尽事宜，由甲方牵头，三方协商解决。</w:t>
      </w:r>
    </w:p>
    <w:p w14:paraId="6AD2142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 本协议正本三份、副本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份。合同三方各执正本一份、副本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份，当正本与副本内容不一致时，以正本为准。</w:t>
      </w:r>
    </w:p>
    <w:p w14:paraId="553F142C">
      <w:pPr>
        <w:pageBreakBefore w:val="0"/>
        <w:kinsoku/>
        <w:wordWrap w:val="0"/>
        <w:bidi w:val="0"/>
        <w:spacing w:line="340" w:lineRule="atLeast"/>
        <w:outlineLvl w:val="9"/>
        <w:rPr>
          <w:rFonts w:hint="default" w:ascii="Times New Roman" w:hAnsi="Times New Roman" w:cs="Times New Roman"/>
          <w:b/>
          <w:sz w:val="24"/>
          <w:highlight w:val="none"/>
        </w:rPr>
      </w:pPr>
    </w:p>
    <w:p w14:paraId="19C8E9B5">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EFB7892">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043C6A2D">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65303DC6">
      <w:pPr>
        <w:pageBreakBefore w:val="0"/>
        <w:kinsoku/>
        <w:wordWrap w:val="0"/>
        <w:bidi w:val="0"/>
        <w:spacing w:line="340" w:lineRule="atLeast"/>
        <w:rPr>
          <w:rFonts w:hint="default" w:ascii="Times New Roman" w:hAnsi="Times New Roman" w:cs="Times New Roman"/>
          <w:sz w:val="24"/>
          <w:highlight w:val="none"/>
        </w:rPr>
      </w:pPr>
    </w:p>
    <w:p w14:paraId="083E832D">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068DAB8">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5F17B9F4">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5E55855A">
      <w:pPr>
        <w:pageBreakBefore w:val="0"/>
        <w:kinsoku/>
        <w:wordWrap w:val="0"/>
        <w:bidi w:val="0"/>
        <w:spacing w:line="340" w:lineRule="atLeast"/>
        <w:rPr>
          <w:rFonts w:hint="default" w:ascii="Times New Roman" w:hAnsi="Times New Roman" w:cs="Times New Roman"/>
          <w:sz w:val="24"/>
          <w:highlight w:val="none"/>
        </w:rPr>
      </w:pPr>
    </w:p>
    <w:p w14:paraId="6F9A8A03">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43C209B4">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3B21F523">
      <w:pPr>
        <w:pageBreakBefore w:val="0"/>
        <w:kinsoku/>
        <w:wordWrap w:val="0"/>
        <w:bidi w:val="0"/>
        <w:spacing w:line="340" w:lineRule="atLeast"/>
        <w:ind w:firstLine="1920" w:firstLineChars="800"/>
        <w:rPr>
          <w:rFonts w:hint="default" w:ascii="Times New Roman" w:hAnsi="Times New Roman" w:cs="Times New Roman"/>
          <w:sz w:val="24"/>
          <w:highlight w:val="none"/>
        </w:rPr>
        <w:sectPr>
          <w:headerReference r:id="rId40" w:type="default"/>
          <w:footerReference r:id="rId41"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181B11E5">
      <w:pPr>
        <w:pageBreakBefore w:val="0"/>
        <w:kinsoku/>
        <w:wordWrap w:val="0"/>
        <w:bidi w:val="0"/>
        <w:spacing w:line="340" w:lineRule="atLeast"/>
        <w:ind w:firstLine="3534" w:firstLineChars="800"/>
        <w:rPr>
          <w:rFonts w:hint="default" w:ascii="Times New Roman" w:hAnsi="Times New Roman" w:cs="Times New Roman"/>
          <w:b/>
          <w:bCs/>
          <w:sz w:val="44"/>
          <w:highlight w:val="none"/>
        </w:rPr>
      </w:pPr>
    </w:p>
    <w:p w14:paraId="2746AE0E">
      <w:pPr>
        <w:pageBreakBefore w:val="0"/>
        <w:kinsoku/>
        <w:wordWrap w:val="0"/>
        <w:bidi w:val="0"/>
        <w:spacing w:line="400" w:lineRule="exact"/>
        <w:rPr>
          <w:rFonts w:hint="default" w:ascii="Times New Roman" w:hAnsi="Times New Roman" w:cs="Times New Roman"/>
          <w:sz w:val="24"/>
          <w:highlight w:val="none"/>
        </w:rPr>
      </w:pPr>
    </w:p>
    <w:p w14:paraId="6CEFDDE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8805A6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07B12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32C82A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1CABB4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21C9972">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596F9FB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4DA2BD3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64141279">
      <w:pPr>
        <w:pageBreakBefore w:val="0"/>
        <w:kinsoku/>
        <w:wordWrap w:val="0"/>
        <w:bidi w:val="0"/>
        <w:jc w:val="center"/>
        <w:outlineLvl w:val="0"/>
        <w:rPr>
          <w:rFonts w:hint="default" w:ascii="Times New Roman" w:hAnsi="Times New Roman" w:eastAsia="黑体" w:cs="Times New Roman"/>
          <w:sz w:val="56"/>
          <w:szCs w:val="56"/>
          <w:highlight w:val="none"/>
        </w:rPr>
      </w:pPr>
      <w:bookmarkStart w:id="1419" w:name="_Toc234833240"/>
      <w:bookmarkStart w:id="1420" w:name="_Toc9486"/>
      <w:bookmarkStart w:id="1421" w:name="_Toc234835927"/>
      <w:bookmarkStart w:id="1422" w:name="_Toc28897"/>
      <w:bookmarkStart w:id="1423" w:name="_Toc28723"/>
      <w:r>
        <w:rPr>
          <w:rFonts w:hint="default" w:ascii="Times New Roman" w:hAnsi="Times New Roman" w:eastAsia="黑体" w:cs="Times New Roman"/>
          <w:sz w:val="56"/>
          <w:szCs w:val="56"/>
          <w:highlight w:val="none"/>
        </w:rPr>
        <w:t>第五章  工程量清单</w:t>
      </w:r>
      <w:bookmarkEnd w:id="1419"/>
      <w:bookmarkEnd w:id="1420"/>
      <w:bookmarkEnd w:id="1421"/>
      <w:bookmarkEnd w:id="1422"/>
      <w:bookmarkEnd w:id="1423"/>
    </w:p>
    <w:p w14:paraId="75D96316">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sectPr>
          <w:headerReference r:id="rId42" w:type="default"/>
          <w:footerReference r:id="rId43"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24" w:name="_Toc234833241"/>
    </w:p>
    <w:p w14:paraId="3F9D7A13">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pPr>
      <w:bookmarkStart w:id="1425" w:name="_Toc29171"/>
      <w:bookmarkStart w:id="1426" w:name="_Toc2221"/>
      <w:r>
        <w:rPr>
          <w:rFonts w:hint="default" w:ascii="Times New Roman" w:hAnsi="Times New Roman" w:eastAsia="黑体" w:cs="Times New Roman"/>
          <w:b w:val="0"/>
          <w:sz w:val="32"/>
          <w:szCs w:val="32"/>
          <w:highlight w:val="none"/>
        </w:rPr>
        <w:t>第五章  工程量清单</w:t>
      </w:r>
      <w:bookmarkEnd w:id="1424"/>
      <w:bookmarkEnd w:id="1425"/>
      <w:bookmarkEnd w:id="1426"/>
    </w:p>
    <w:p w14:paraId="072EF9B5">
      <w:pPr>
        <w:pStyle w:val="2"/>
        <w:pageBreakBefore w:val="0"/>
        <w:kinsoku/>
        <w:wordWrap w:val="0"/>
        <w:bidi w:val="0"/>
        <w:spacing w:before="240" w:beforeLines="100" w:after="240" w:afterLines="100" w:line="380" w:lineRule="atLeast"/>
        <w:rPr>
          <w:rFonts w:hint="default" w:ascii="Times New Roman" w:hAnsi="Times New Roman" w:eastAsia="黑体" w:cs="Times New Roman"/>
          <w:b w:val="0"/>
          <w:sz w:val="28"/>
          <w:szCs w:val="28"/>
          <w:highlight w:val="none"/>
        </w:rPr>
      </w:pPr>
      <w:bookmarkStart w:id="1427" w:name="_Toc27094"/>
      <w:bookmarkStart w:id="1428" w:name="_Toc32385"/>
      <w:bookmarkStart w:id="1429" w:name="_Toc234833242"/>
      <w:bookmarkStart w:id="1430" w:name="_Toc10571"/>
      <w:r>
        <w:rPr>
          <w:rFonts w:hint="default" w:ascii="Times New Roman" w:hAnsi="Times New Roman" w:eastAsia="黑体" w:cs="Times New Roman"/>
          <w:b w:val="0"/>
          <w:sz w:val="28"/>
          <w:szCs w:val="28"/>
          <w:highlight w:val="none"/>
        </w:rPr>
        <w:t>1. 工程量清单说明</w:t>
      </w:r>
      <w:bookmarkEnd w:id="1427"/>
      <w:bookmarkEnd w:id="1428"/>
      <w:bookmarkEnd w:id="1429"/>
      <w:bookmarkEnd w:id="1430"/>
    </w:p>
    <w:p w14:paraId="603D6E7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EEFAF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1.2 本工程量清单应与招标文件中的投标人须知、通用合同条款、专用合同条款、工程量清单计量规则、技术规范及图纸等一起阅读和理解。</w:t>
      </w:r>
    </w:p>
    <w:p w14:paraId="3EDBE7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A41E3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1.4 工程量清单各章是按第八章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的相应章次编号的，因此，工程量清单中各章的工程子目的范围与计量等应与</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 xml:space="preserve"> </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相应章节的范围、计量与支付条款结合起来理解或解释。</w:t>
      </w:r>
    </w:p>
    <w:p w14:paraId="6D9C888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1.5 对作业和材料的一般说明或规定，未重复写入工程量清单内，在给工程量清单各子目标价前，应参阅第七章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的有关内容。</w:t>
      </w:r>
    </w:p>
    <w:p w14:paraId="1B19CF0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1.6 工程量清单中所列工程量的变动，丝毫不会降低或影响合同条款的效力，也不免除承包人按规定的标准进行施工和修复缺陷的责任。</w:t>
      </w:r>
    </w:p>
    <w:p w14:paraId="6C592B69">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1.7 图纸中所列的工程数量表及数量汇总表仅是提供资料，不是工程量清单的外延。当图纸与工程量清单所列数量不一致时，以工程量清单所列数量作为报价的依据。</w:t>
      </w:r>
    </w:p>
    <w:p w14:paraId="3F91A1D6">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31" w:name="_Toc29747"/>
      <w:bookmarkStart w:id="1432" w:name="_Toc234833243"/>
      <w:bookmarkStart w:id="1433" w:name="_Toc31685"/>
      <w:bookmarkStart w:id="1434" w:name="_Toc1611"/>
      <w:r>
        <w:rPr>
          <w:rFonts w:hint="default" w:ascii="Times New Roman" w:hAnsi="Times New Roman" w:eastAsia="黑体" w:cs="Times New Roman"/>
          <w:b w:val="0"/>
          <w:sz w:val="28"/>
          <w:szCs w:val="28"/>
          <w:highlight w:val="none"/>
        </w:rPr>
        <w:t>2. 投标报价说明</w:t>
      </w:r>
      <w:bookmarkEnd w:id="1431"/>
      <w:bookmarkEnd w:id="1432"/>
      <w:bookmarkEnd w:id="1433"/>
      <w:bookmarkEnd w:id="1434"/>
    </w:p>
    <w:p w14:paraId="33B2973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2.1 工程量清单中的每一子目须填入单价或价格，且只允许有一个报价。</w:t>
      </w:r>
    </w:p>
    <w:p w14:paraId="5DAFA95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13DCB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73F8D2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30E7FA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2.5 承包人用于本合同工程的各类装备的提供、运输、维护、拆卸、拼装等支付的费用，已包括在工程量清单的单价与总额价之中。</w:t>
      </w:r>
    </w:p>
    <w:p w14:paraId="4F53C9D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2.6 工程量清单中各项金额均以人民币（元）结算。</w:t>
      </w:r>
    </w:p>
    <w:p w14:paraId="5330C1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2.7 暂列金额（不含计日工总额）的数量及拟用子目的说明：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884495">
      <w:pPr>
        <w:pageBreakBefore w:val="0"/>
        <w:kinsoku/>
        <w:wordWrap w:val="0"/>
        <w:bidi w:val="0"/>
        <w:spacing w:line="400" w:lineRule="atLeast"/>
        <w:ind w:firstLine="540" w:firstLineChars="225"/>
        <w:rPr>
          <w:rFonts w:hint="default" w:ascii="Times New Roman" w:hAnsi="Times New Roman" w:eastAsia="黑体" w:cs="Times New Roman"/>
          <w:sz w:val="24"/>
          <w:highlight w:val="none"/>
        </w:rPr>
      </w:pPr>
      <w:r>
        <w:rPr>
          <w:rFonts w:hint="default" w:ascii="Times New Roman" w:hAnsi="Times New Roman" w:cs="Times New Roman"/>
          <w:sz w:val="24"/>
          <w:highlight w:val="none"/>
        </w:rPr>
        <w:t>2.8 暂估价的数量及拟用子目的说明：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39A722AD">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35" w:name="_Toc234833244"/>
      <w:bookmarkStart w:id="1436" w:name="_Toc19"/>
      <w:bookmarkStart w:id="1437" w:name="_Toc3615"/>
      <w:bookmarkStart w:id="1438" w:name="_Toc3776"/>
      <w:r>
        <w:rPr>
          <w:rFonts w:hint="default" w:ascii="Times New Roman" w:hAnsi="Times New Roman" w:eastAsia="黑体" w:cs="Times New Roman"/>
          <w:b w:val="0"/>
          <w:sz w:val="28"/>
          <w:szCs w:val="28"/>
          <w:highlight w:val="none"/>
        </w:rPr>
        <w:t>3. 计日工说明</w:t>
      </w:r>
      <w:bookmarkEnd w:id="1435"/>
      <w:bookmarkEnd w:id="1436"/>
      <w:bookmarkEnd w:id="1437"/>
      <w:bookmarkEnd w:id="1438"/>
    </w:p>
    <w:p w14:paraId="4B7E6D55">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3.1 总则</w:t>
      </w:r>
    </w:p>
    <w:p w14:paraId="5EA4BFD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（1）本说明应参照通用合同条款第15.7款一并理解。</w:t>
      </w:r>
    </w:p>
    <w:p w14:paraId="01FEFA8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（2）未经监理人书面指令，任何工程不得按计日工施工；接到监理人按计日工施工的书面指令，承包人也不得拒绝。</w:t>
      </w:r>
    </w:p>
    <w:p w14:paraId="07C3266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358DF86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（4）计日工不调价。</w:t>
      </w:r>
    </w:p>
    <w:p w14:paraId="3A3F84A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3.2 计日工劳务</w:t>
      </w:r>
    </w:p>
    <w:p w14:paraId="6D1851D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588A8CEF">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（2）承包人可以得到用于计日工劳务的全部工时的支付，此支付按承包人填报的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计日工劳务单价表</w:t>
      </w:r>
      <w:r>
        <w:rPr>
          <w:rFonts w:hint="eastAsia" w:ascii="宋体" w:hAnsi="宋体" w:eastAsia="宋体" w:cs="宋体"/>
          <w:sz w:val="24"/>
          <w:highlight w:val="none"/>
        </w:rPr>
        <w:t>”</w:t>
      </w:r>
      <w:r>
        <w:rPr>
          <w:rFonts w:hint="default" w:ascii="Times New Roman" w:hAnsi="Times New Roman" w:cs="Times New Roman"/>
          <w:sz w:val="24"/>
          <w:highlight w:val="none"/>
        </w:rPr>
        <w:t>所列单价计算，该单价应包括基本单价及承包人的管理费、税费、利润等所有附加费，说明如下：</w:t>
      </w:r>
    </w:p>
    <w:p w14:paraId="1E1CA0B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a. 劳务基本单价包括：承包人劳务的全部直接费用，如：工资、加班费、津贴、福利费及劳动保护费等。</w:t>
      </w:r>
    </w:p>
    <w:p w14:paraId="0539B64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b. 承包人的利润、管理、质检、保险、税费；易耗品的使用，水电及照明费，工作台、脚手架、临时设施费，手动机具与工具的使用及维修，以及上述各项伴随而来的费用。</w:t>
      </w:r>
    </w:p>
    <w:p w14:paraId="30A61BC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3.3 计日工材料</w:t>
      </w:r>
    </w:p>
    <w:p w14:paraId="49D26D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承包人可以得到计日工使用的材料费用（上述3.2款已计入劳务费内的材料费用除外）的支付，此费用按承包人</w:t>
      </w:r>
      <w:r>
        <w:rPr>
          <w:rFonts w:hint="eastAsia" w:ascii="宋体" w:hAnsi="宋体" w:eastAsia="宋体" w:cs="宋体"/>
          <w:sz w:val="24"/>
          <w:highlight w:val="none"/>
        </w:rPr>
        <w:t>“</w:t>
      </w:r>
      <w:r>
        <w:rPr>
          <w:rFonts w:hint="default" w:ascii="Times New Roman" w:hAnsi="Times New Roman" w:cs="Times New Roman"/>
          <w:sz w:val="24"/>
          <w:highlight w:val="none"/>
        </w:rPr>
        <w:t>计日工材料单价表</w:t>
      </w:r>
      <w:r>
        <w:rPr>
          <w:rFonts w:hint="eastAsia" w:ascii="宋体" w:hAnsi="宋体" w:eastAsia="宋体" w:cs="宋体"/>
          <w:sz w:val="24"/>
          <w:highlight w:val="none"/>
        </w:rPr>
        <w:t>”</w:t>
      </w:r>
      <w:r>
        <w:rPr>
          <w:rFonts w:hint="default" w:ascii="Times New Roman" w:hAnsi="Times New Roman" w:cs="Times New Roman"/>
          <w:sz w:val="24"/>
          <w:highlight w:val="none"/>
        </w:rPr>
        <w:t>中所填报的单价计算，该单价应包括基本单价及承包人的管理费、税费、利润等所有附加费，说明如下：</w:t>
      </w:r>
    </w:p>
    <w:p w14:paraId="7900A284">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（1）材料基本单价按供货价加运杂费（到达承包人现场仓库）、保险费、仓库管理费以及运输损耗等计算；</w:t>
      </w:r>
    </w:p>
    <w:p w14:paraId="15EAA8F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（2）承包人的利润、管理、质检、保险、税费及其他附加费；</w:t>
      </w:r>
    </w:p>
    <w:p w14:paraId="5A675D9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（3）从现场运至使用地点的人工费和施工机械使用费不包括在上述基本单价内。</w:t>
      </w:r>
    </w:p>
    <w:p w14:paraId="5BBD981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3.4 计日工施工机械</w:t>
      </w:r>
    </w:p>
    <w:p w14:paraId="3B629F1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（1）承包人可以得到用于计日工作业的施工机械费用的支付，该费用按承包人填报的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计日工施工机械单价表</w:t>
      </w:r>
      <w:r>
        <w:rPr>
          <w:rFonts w:hint="eastAsia" w:ascii="宋体" w:hAnsi="宋体" w:eastAsia="宋体" w:cs="宋体"/>
          <w:sz w:val="24"/>
          <w:highlight w:val="none"/>
        </w:rPr>
        <w:t>”</w:t>
      </w:r>
      <w:r>
        <w:rPr>
          <w:rFonts w:hint="default" w:ascii="Times New Roman" w:hAnsi="Times New Roman" w:cs="Times New Roman"/>
          <w:sz w:val="24"/>
          <w:highlight w:val="none"/>
        </w:rPr>
        <w:t>中的租价计算。该租价应包括施工机械的折旧、利息、维修、保养、零配件、油燃料、保险和其他消耗品的费用以及全部有关使用这些机械的管理费、税费、利润和司机与助手的劳务费等费用。</w:t>
      </w:r>
    </w:p>
    <w:p w14:paraId="5038919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8546D3F">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39" w:name="_Toc28230"/>
      <w:bookmarkStart w:id="1440" w:name="_Toc25175"/>
      <w:bookmarkStart w:id="1441" w:name="_Toc2204"/>
      <w:bookmarkStart w:id="1442" w:name="_Toc234833245"/>
      <w:r>
        <w:rPr>
          <w:rFonts w:hint="default" w:ascii="Times New Roman" w:hAnsi="Times New Roman" w:eastAsia="黑体" w:cs="Times New Roman"/>
          <w:b w:val="0"/>
          <w:sz w:val="28"/>
          <w:szCs w:val="28"/>
          <w:highlight w:val="none"/>
        </w:rPr>
        <w:t>4. 其他说明</w:t>
      </w:r>
      <w:bookmarkEnd w:id="1439"/>
      <w:bookmarkEnd w:id="1440"/>
      <w:bookmarkEnd w:id="1441"/>
      <w:bookmarkEnd w:id="1442"/>
    </w:p>
    <w:p w14:paraId="7564C42E">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443" w:name="_Toc30213"/>
      <w:bookmarkStart w:id="1444" w:name="_Toc18734"/>
      <w:bookmarkStart w:id="1445" w:name="_Toc234833246"/>
      <w:bookmarkStart w:id="1446" w:name="_Toc2566"/>
      <w:r>
        <w:rPr>
          <w:rFonts w:hint="default" w:ascii="Times New Roman" w:hAnsi="Times New Roman" w:eastAsia="黑体" w:cs="Times New Roman"/>
          <w:b w:val="0"/>
          <w:sz w:val="28"/>
          <w:szCs w:val="28"/>
          <w:highlight w:val="none"/>
        </w:rPr>
        <w:t>5. 工程量清单</w:t>
      </w:r>
      <w:bookmarkEnd w:id="1443"/>
      <w:bookmarkEnd w:id="1444"/>
      <w:bookmarkEnd w:id="1445"/>
      <w:bookmarkEnd w:id="1446"/>
    </w:p>
    <w:p w14:paraId="158FAC4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5.1 工程量清单表</w:t>
      </w:r>
    </w:p>
    <w:p w14:paraId="6CB7BACC">
      <w:pPr>
        <w:pageBreakBefore w:val="0"/>
        <w:kinsoku/>
        <w:wordWrap w:val="0"/>
        <w:bidi w:val="0"/>
        <w:spacing w:line="440" w:lineRule="exact"/>
        <w:rPr>
          <w:rFonts w:hint="default" w:ascii="Times New Roman" w:hAnsi="Times New Roman" w:eastAsia="黑体" w:cs="Times New Roman"/>
          <w:sz w:val="20"/>
          <w:szCs w:val="20"/>
          <w:highlight w:val="none"/>
        </w:rPr>
      </w:pPr>
    </w:p>
    <w:p w14:paraId="36E0B72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工 程 量 清 单</w:t>
      </w:r>
    </w:p>
    <w:p w14:paraId="0394AB2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9D0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7377750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第100章   总  则</w:t>
            </w:r>
          </w:p>
        </w:tc>
      </w:tr>
      <w:tr w14:paraId="45F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noWrap w:val="0"/>
            <w:vAlign w:val="center"/>
          </w:tcPr>
          <w:p w14:paraId="383D033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335E9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14DCB0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19F5F8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CBFC2D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5CF65E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69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545C2F6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05E0F2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通则</w:t>
            </w:r>
          </w:p>
        </w:tc>
        <w:tc>
          <w:tcPr>
            <w:tcW w:w="749" w:type="dxa"/>
            <w:tcBorders>
              <w:top w:val="single" w:color="auto" w:sz="4" w:space="0"/>
              <w:left w:val="single" w:color="auto" w:sz="4" w:space="0"/>
              <w:bottom w:val="single" w:color="auto" w:sz="4" w:space="0"/>
              <w:right w:val="single" w:color="auto" w:sz="4" w:space="0"/>
            </w:tcBorders>
            <w:noWrap w:val="0"/>
            <w:vAlign w:val="top"/>
          </w:tcPr>
          <w:p w14:paraId="11B8FE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886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6355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16FD438">
            <w:pPr>
              <w:pageBreakBefore w:val="0"/>
              <w:kinsoku/>
              <w:wordWrap w:val="0"/>
              <w:bidi w:val="0"/>
              <w:spacing w:line="360" w:lineRule="atLeast"/>
              <w:jc w:val="center"/>
              <w:rPr>
                <w:rFonts w:hint="default" w:ascii="Times New Roman" w:hAnsi="Times New Roman" w:cs="Times New Roman"/>
                <w:szCs w:val="21"/>
                <w:highlight w:val="none"/>
              </w:rPr>
            </w:pPr>
          </w:p>
        </w:tc>
      </w:tr>
      <w:tr w14:paraId="07DF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top"/>
          </w:tcPr>
          <w:p w14:paraId="3BCC3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70DE60E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保险费 </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166DA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57E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AD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6D9BF275">
            <w:pPr>
              <w:pageBreakBefore w:val="0"/>
              <w:kinsoku/>
              <w:wordWrap w:val="0"/>
              <w:bidi w:val="0"/>
              <w:spacing w:line="360" w:lineRule="atLeast"/>
              <w:jc w:val="center"/>
              <w:rPr>
                <w:rFonts w:hint="default" w:ascii="Times New Roman" w:hAnsi="Times New Roman" w:cs="Times New Roman"/>
                <w:szCs w:val="21"/>
                <w:highlight w:val="none"/>
              </w:rPr>
            </w:pPr>
          </w:p>
        </w:tc>
      </w:tr>
      <w:tr w14:paraId="17B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noWrap w:val="0"/>
            <w:vAlign w:val="top"/>
          </w:tcPr>
          <w:p w14:paraId="5BDD5CF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5ED724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按合同条款规定，提供建筑工程一切险</w:t>
            </w:r>
          </w:p>
        </w:tc>
        <w:tc>
          <w:tcPr>
            <w:tcW w:w="749" w:type="dxa"/>
            <w:tcBorders>
              <w:top w:val="single" w:color="auto" w:sz="4" w:space="0"/>
              <w:left w:val="single" w:color="auto" w:sz="4" w:space="0"/>
              <w:right w:val="single" w:color="auto" w:sz="4" w:space="0"/>
            </w:tcBorders>
            <w:noWrap w:val="0"/>
            <w:vAlign w:val="top"/>
          </w:tcPr>
          <w:p w14:paraId="2D7AD2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5CDE9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635A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3363A764">
            <w:pPr>
              <w:pageBreakBefore w:val="0"/>
              <w:kinsoku/>
              <w:wordWrap w:val="0"/>
              <w:bidi w:val="0"/>
              <w:spacing w:line="360" w:lineRule="atLeast"/>
              <w:jc w:val="center"/>
              <w:rPr>
                <w:rFonts w:hint="default" w:ascii="Times New Roman" w:hAnsi="Times New Roman" w:cs="Times New Roman"/>
                <w:szCs w:val="21"/>
                <w:highlight w:val="none"/>
              </w:rPr>
            </w:pPr>
          </w:p>
        </w:tc>
      </w:tr>
      <w:tr w14:paraId="1D8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F37F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EB558F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按合同条款规定，提供第三者责任险</w:t>
            </w:r>
          </w:p>
        </w:tc>
        <w:tc>
          <w:tcPr>
            <w:tcW w:w="749" w:type="dxa"/>
            <w:noWrap w:val="0"/>
            <w:vAlign w:val="top"/>
          </w:tcPr>
          <w:p w14:paraId="2A587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6FA66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D6D6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5498F9">
            <w:pPr>
              <w:pageBreakBefore w:val="0"/>
              <w:kinsoku/>
              <w:wordWrap w:val="0"/>
              <w:bidi w:val="0"/>
              <w:spacing w:line="360" w:lineRule="atLeast"/>
              <w:jc w:val="center"/>
              <w:rPr>
                <w:rFonts w:hint="default" w:ascii="Times New Roman" w:hAnsi="Times New Roman" w:cs="Times New Roman"/>
                <w:szCs w:val="21"/>
                <w:highlight w:val="none"/>
              </w:rPr>
            </w:pPr>
          </w:p>
        </w:tc>
      </w:tr>
      <w:tr w14:paraId="265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0167A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4732" w:type="dxa"/>
            <w:noWrap w:val="0"/>
            <w:vAlign w:val="center"/>
          </w:tcPr>
          <w:p w14:paraId="7A423C5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工程管理</w:t>
            </w:r>
          </w:p>
        </w:tc>
        <w:tc>
          <w:tcPr>
            <w:tcW w:w="749" w:type="dxa"/>
            <w:noWrap w:val="0"/>
            <w:vAlign w:val="center"/>
          </w:tcPr>
          <w:p w14:paraId="46496D2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C728E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A2F7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EE24F6">
            <w:pPr>
              <w:pageBreakBefore w:val="0"/>
              <w:kinsoku/>
              <w:wordWrap w:val="0"/>
              <w:bidi w:val="0"/>
              <w:spacing w:line="360" w:lineRule="atLeast"/>
              <w:jc w:val="center"/>
              <w:rPr>
                <w:rFonts w:hint="default" w:ascii="Times New Roman" w:hAnsi="Times New Roman" w:cs="Times New Roman"/>
                <w:szCs w:val="21"/>
                <w:highlight w:val="none"/>
              </w:rPr>
            </w:pPr>
          </w:p>
        </w:tc>
      </w:tr>
      <w:tr w14:paraId="3CC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FDD6C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102-1</w:t>
            </w:r>
          </w:p>
        </w:tc>
        <w:tc>
          <w:tcPr>
            <w:tcW w:w="4732" w:type="dxa"/>
            <w:noWrap w:val="0"/>
            <w:vAlign w:val="center"/>
          </w:tcPr>
          <w:p w14:paraId="73FEBCD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竣工文件</w:t>
            </w:r>
          </w:p>
        </w:tc>
        <w:tc>
          <w:tcPr>
            <w:tcW w:w="749" w:type="dxa"/>
            <w:noWrap w:val="0"/>
            <w:vAlign w:val="center"/>
          </w:tcPr>
          <w:p w14:paraId="0C065D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F7BE4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46A3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89C23">
            <w:pPr>
              <w:pageBreakBefore w:val="0"/>
              <w:kinsoku/>
              <w:wordWrap w:val="0"/>
              <w:bidi w:val="0"/>
              <w:spacing w:line="360" w:lineRule="atLeast"/>
              <w:jc w:val="center"/>
              <w:rPr>
                <w:rFonts w:hint="default" w:ascii="Times New Roman" w:hAnsi="Times New Roman" w:cs="Times New Roman"/>
                <w:szCs w:val="21"/>
                <w:highlight w:val="none"/>
              </w:rPr>
            </w:pPr>
          </w:p>
        </w:tc>
      </w:tr>
      <w:tr w14:paraId="269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668FF8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102-2</w:t>
            </w:r>
          </w:p>
        </w:tc>
        <w:tc>
          <w:tcPr>
            <w:tcW w:w="4732" w:type="dxa"/>
            <w:noWrap w:val="0"/>
            <w:vAlign w:val="center"/>
          </w:tcPr>
          <w:p w14:paraId="6DE2AB2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施工环保费</w:t>
            </w:r>
          </w:p>
        </w:tc>
        <w:tc>
          <w:tcPr>
            <w:tcW w:w="749" w:type="dxa"/>
            <w:noWrap w:val="0"/>
            <w:vAlign w:val="center"/>
          </w:tcPr>
          <w:p w14:paraId="4B9E5F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28F977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5E9D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A41459">
            <w:pPr>
              <w:pageBreakBefore w:val="0"/>
              <w:kinsoku/>
              <w:wordWrap w:val="0"/>
              <w:bidi w:val="0"/>
              <w:spacing w:line="360" w:lineRule="atLeast"/>
              <w:jc w:val="center"/>
              <w:rPr>
                <w:rFonts w:hint="default" w:ascii="Times New Roman" w:hAnsi="Times New Roman" w:cs="Times New Roman"/>
                <w:szCs w:val="21"/>
                <w:highlight w:val="none"/>
              </w:rPr>
            </w:pPr>
          </w:p>
        </w:tc>
      </w:tr>
      <w:tr w14:paraId="3EE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3F1AB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102-3</w:t>
            </w:r>
          </w:p>
        </w:tc>
        <w:tc>
          <w:tcPr>
            <w:tcW w:w="4732" w:type="dxa"/>
            <w:noWrap w:val="0"/>
            <w:vAlign w:val="center"/>
          </w:tcPr>
          <w:p w14:paraId="771624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安全生产费</w:t>
            </w:r>
          </w:p>
        </w:tc>
        <w:tc>
          <w:tcPr>
            <w:tcW w:w="749" w:type="dxa"/>
            <w:noWrap w:val="0"/>
            <w:vAlign w:val="center"/>
          </w:tcPr>
          <w:p w14:paraId="21BDC8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7FAEE5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6A97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64451F">
            <w:pPr>
              <w:pageBreakBefore w:val="0"/>
              <w:kinsoku/>
              <w:wordWrap w:val="0"/>
              <w:bidi w:val="0"/>
              <w:spacing w:line="360" w:lineRule="atLeast"/>
              <w:jc w:val="center"/>
              <w:rPr>
                <w:rFonts w:hint="default" w:ascii="Times New Roman" w:hAnsi="Times New Roman" w:cs="Times New Roman"/>
                <w:szCs w:val="21"/>
                <w:highlight w:val="none"/>
              </w:rPr>
            </w:pPr>
          </w:p>
        </w:tc>
      </w:tr>
      <w:tr w14:paraId="0349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C6FF50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102-4</w:t>
            </w:r>
          </w:p>
        </w:tc>
        <w:tc>
          <w:tcPr>
            <w:tcW w:w="4732" w:type="dxa"/>
            <w:noWrap w:val="0"/>
            <w:vAlign w:val="center"/>
          </w:tcPr>
          <w:p w14:paraId="0B6534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信息化系统（暂估价）</w:t>
            </w:r>
          </w:p>
        </w:tc>
        <w:tc>
          <w:tcPr>
            <w:tcW w:w="749" w:type="dxa"/>
            <w:noWrap w:val="0"/>
            <w:vAlign w:val="center"/>
          </w:tcPr>
          <w:p w14:paraId="2C184D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7EE1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713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72188">
            <w:pPr>
              <w:pageBreakBefore w:val="0"/>
              <w:kinsoku/>
              <w:wordWrap w:val="0"/>
              <w:bidi w:val="0"/>
              <w:spacing w:line="360" w:lineRule="atLeast"/>
              <w:jc w:val="center"/>
              <w:rPr>
                <w:rFonts w:hint="default" w:ascii="Times New Roman" w:hAnsi="Times New Roman" w:cs="Times New Roman"/>
                <w:szCs w:val="21"/>
                <w:highlight w:val="none"/>
              </w:rPr>
            </w:pPr>
          </w:p>
        </w:tc>
      </w:tr>
      <w:tr w14:paraId="506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1DDA6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4732" w:type="dxa"/>
            <w:noWrap w:val="0"/>
            <w:vAlign w:val="center"/>
          </w:tcPr>
          <w:p w14:paraId="2D6839E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临时工程与设施</w:t>
            </w:r>
          </w:p>
        </w:tc>
        <w:tc>
          <w:tcPr>
            <w:tcW w:w="749" w:type="dxa"/>
            <w:noWrap w:val="0"/>
            <w:vAlign w:val="top"/>
          </w:tcPr>
          <w:p w14:paraId="735489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55A9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866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BBF47">
            <w:pPr>
              <w:pageBreakBefore w:val="0"/>
              <w:kinsoku/>
              <w:wordWrap w:val="0"/>
              <w:bidi w:val="0"/>
              <w:spacing w:line="360" w:lineRule="atLeast"/>
              <w:jc w:val="center"/>
              <w:rPr>
                <w:rFonts w:hint="default" w:ascii="Times New Roman" w:hAnsi="Times New Roman" w:cs="Times New Roman"/>
                <w:szCs w:val="21"/>
                <w:highlight w:val="none"/>
              </w:rPr>
            </w:pPr>
          </w:p>
        </w:tc>
      </w:tr>
      <w:tr w14:paraId="72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35EA57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103-1</w:t>
            </w:r>
          </w:p>
        </w:tc>
        <w:tc>
          <w:tcPr>
            <w:tcW w:w="4732" w:type="dxa"/>
            <w:noWrap w:val="0"/>
            <w:vAlign w:val="top"/>
          </w:tcPr>
          <w:p w14:paraId="159143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临时道路修建、养护与拆除（包括原道路的养护）</w:t>
            </w:r>
          </w:p>
        </w:tc>
        <w:tc>
          <w:tcPr>
            <w:tcW w:w="749" w:type="dxa"/>
            <w:noWrap w:val="0"/>
            <w:vAlign w:val="top"/>
          </w:tcPr>
          <w:p w14:paraId="56837E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9C01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FEE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FDAEDF">
            <w:pPr>
              <w:pageBreakBefore w:val="0"/>
              <w:kinsoku/>
              <w:wordWrap w:val="0"/>
              <w:bidi w:val="0"/>
              <w:spacing w:line="360" w:lineRule="atLeast"/>
              <w:jc w:val="center"/>
              <w:rPr>
                <w:rFonts w:hint="default" w:ascii="Times New Roman" w:hAnsi="Times New Roman" w:cs="Times New Roman"/>
                <w:szCs w:val="21"/>
                <w:highlight w:val="none"/>
              </w:rPr>
            </w:pPr>
          </w:p>
        </w:tc>
      </w:tr>
      <w:tr w14:paraId="259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0FAC981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103-2</w:t>
            </w:r>
          </w:p>
        </w:tc>
        <w:tc>
          <w:tcPr>
            <w:tcW w:w="4732" w:type="dxa"/>
            <w:noWrap w:val="0"/>
            <w:vAlign w:val="top"/>
          </w:tcPr>
          <w:p w14:paraId="00DA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临时占地</w:t>
            </w:r>
          </w:p>
        </w:tc>
        <w:tc>
          <w:tcPr>
            <w:tcW w:w="749" w:type="dxa"/>
            <w:noWrap w:val="0"/>
            <w:vAlign w:val="top"/>
          </w:tcPr>
          <w:p w14:paraId="78981C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D61E7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64A3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0D3DC6">
            <w:pPr>
              <w:pageBreakBefore w:val="0"/>
              <w:kinsoku/>
              <w:wordWrap w:val="0"/>
              <w:bidi w:val="0"/>
              <w:spacing w:line="360" w:lineRule="atLeast"/>
              <w:jc w:val="center"/>
              <w:rPr>
                <w:rFonts w:hint="default" w:ascii="Times New Roman" w:hAnsi="Times New Roman" w:cs="Times New Roman"/>
                <w:szCs w:val="21"/>
                <w:highlight w:val="none"/>
              </w:rPr>
            </w:pPr>
          </w:p>
        </w:tc>
      </w:tr>
      <w:tr w14:paraId="5DC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4DAFE55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103-3</w:t>
            </w:r>
          </w:p>
        </w:tc>
        <w:tc>
          <w:tcPr>
            <w:tcW w:w="4732" w:type="dxa"/>
            <w:noWrap w:val="0"/>
            <w:vAlign w:val="center"/>
          </w:tcPr>
          <w:p w14:paraId="0D82157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临时供电设施架设、维护与拆除</w:t>
            </w:r>
          </w:p>
        </w:tc>
        <w:tc>
          <w:tcPr>
            <w:tcW w:w="749" w:type="dxa"/>
            <w:noWrap w:val="0"/>
            <w:vAlign w:val="center"/>
          </w:tcPr>
          <w:p w14:paraId="55F9C3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F386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4827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7D6020">
            <w:pPr>
              <w:pageBreakBefore w:val="0"/>
              <w:kinsoku/>
              <w:wordWrap w:val="0"/>
              <w:bidi w:val="0"/>
              <w:spacing w:line="360" w:lineRule="atLeast"/>
              <w:jc w:val="center"/>
              <w:rPr>
                <w:rFonts w:hint="default" w:ascii="Times New Roman" w:hAnsi="Times New Roman" w:cs="Times New Roman"/>
                <w:szCs w:val="21"/>
                <w:highlight w:val="none"/>
              </w:rPr>
            </w:pPr>
          </w:p>
        </w:tc>
      </w:tr>
      <w:tr w14:paraId="11EB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759660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103-4</w:t>
            </w:r>
          </w:p>
        </w:tc>
        <w:tc>
          <w:tcPr>
            <w:tcW w:w="4732" w:type="dxa"/>
            <w:noWrap w:val="0"/>
            <w:vAlign w:val="top"/>
          </w:tcPr>
          <w:p w14:paraId="120C8C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电信设施的提供、维修与拆除</w:t>
            </w:r>
          </w:p>
        </w:tc>
        <w:tc>
          <w:tcPr>
            <w:tcW w:w="749" w:type="dxa"/>
            <w:noWrap w:val="0"/>
            <w:vAlign w:val="top"/>
          </w:tcPr>
          <w:p w14:paraId="68CCCAF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0FD8E8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C72C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9848A">
            <w:pPr>
              <w:pageBreakBefore w:val="0"/>
              <w:kinsoku/>
              <w:wordWrap w:val="0"/>
              <w:bidi w:val="0"/>
              <w:spacing w:line="360" w:lineRule="atLeast"/>
              <w:jc w:val="center"/>
              <w:rPr>
                <w:rFonts w:hint="default" w:ascii="Times New Roman" w:hAnsi="Times New Roman" w:cs="Times New Roman"/>
                <w:szCs w:val="21"/>
                <w:highlight w:val="none"/>
              </w:rPr>
            </w:pPr>
          </w:p>
        </w:tc>
      </w:tr>
      <w:tr w14:paraId="456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27E1AA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103-5</w:t>
            </w:r>
          </w:p>
        </w:tc>
        <w:tc>
          <w:tcPr>
            <w:tcW w:w="4732" w:type="dxa"/>
            <w:noWrap w:val="0"/>
            <w:vAlign w:val="center"/>
          </w:tcPr>
          <w:p w14:paraId="0565392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临时供水与排污设施</w:t>
            </w:r>
          </w:p>
        </w:tc>
        <w:tc>
          <w:tcPr>
            <w:tcW w:w="749" w:type="dxa"/>
            <w:noWrap w:val="0"/>
            <w:vAlign w:val="top"/>
          </w:tcPr>
          <w:p w14:paraId="01AA852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C9CD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E48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E68DB">
            <w:pPr>
              <w:pageBreakBefore w:val="0"/>
              <w:kinsoku/>
              <w:wordWrap w:val="0"/>
              <w:bidi w:val="0"/>
              <w:spacing w:line="360" w:lineRule="atLeast"/>
              <w:jc w:val="center"/>
              <w:rPr>
                <w:rFonts w:hint="default" w:ascii="Times New Roman" w:hAnsi="Times New Roman" w:cs="Times New Roman"/>
                <w:szCs w:val="21"/>
                <w:highlight w:val="none"/>
              </w:rPr>
            </w:pPr>
          </w:p>
        </w:tc>
      </w:tr>
      <w:tr w14:paraId="10D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7528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4732" w:type="dxa"/>
            <w:noWrap w:val="0"/>
            <w:vAlign w:val="center"/>
          </w:tcPr>
          <w:p w14:paraId="3CC7EB0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76B76E8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1AEF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5DC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DF3C4">
            <w:pPr>
              <w:pageBreakBefore w:val="0"/>
              <w:kinsoku/>
              <w:wordWrap w:val="0"/>
              <w:bidi w:val="0"/>
              <w:spacing w:line="360" w:lineRule="atLeast"/>
              <w:jc w:val="center"/>
              <w:rPr>
                <w:rFonts w:hint="default" w:ascii="Times New Roman" w:hAnsi="Times New Roman" w:cs="Times New Roman"/>
                <w:szCs w:val="21"/>
                <w:highlight w:val="none"/>
              </w:rPr>
            </w:pPr>
          </w:p>
        </w:tc>
      </w:tr>
      <w:tr w14:paraId="73CD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E55E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104-1</w:t>
            </w:r>
          </w:p>
        </w:tc>
        <w:tc>
          <w:tcPr>
            <w:tcW w:w="4732" w:type="dxa"/>
            <w:noWrap w:val="0"/>
            <w:vAlign w:val="top"/>
          </w:tcPr>
          <w:p w14:paraId="3F2DD9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5A8C52D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368F1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2FEB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92FB8">
            <w:pPr>
              <w:pageBreakBefore w:val="0"/>
              <w:kinsoku/>
              <w:wordWrap w:val="0"/>
              <w:bidi w:val="0"/>
              <w:spacing w:line="360" w:lineRule="atLeast"/>
              <w:jc w:val="center"/>
              <w:rPr>
                <w:rFonts w:hint="default" w:ascii="Times New Roman" w:hAnsi="Times New Roman" w:cs="Times New Roman"/>
                <w:szCs w:val="21"/>
                <w:highlight w:val="none"/>
              </w:rPr>
            </w:pPr>
          </w:p>
        </w:tc>
      </w:tr>
      <w:tr w14:paraId="59E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0B1F4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4732" w:type="dxa"/>
            <w:noWrap w:val="0"/>
            <w:vAlign w:val="center"/>
          </w:tcPr>
          <w:p w14:paraId="64AC61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施工标准化</w:t>
            </w:r>
          </w:p>
        </w:tc>
        <w:tc>
          <w:tcPr>
            <w:tcW w:w="749" w:type="dxa"/>
            <w:noWrap w:val="0"/>
            <w:vAlign w:val="center"/>
          </w:tcPr>
          <w:p w14:paraId="4BBEBEE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7CCB3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42EF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21DAC">
            <w:pPr>
              <w:pageBreakBefore w:val="0"/>
              <w:kinsoku/>
              <w:wordWrap w:val="0"/>
              <w:bidi w:val="0"/>
              <w:spacing w:line="360" w:lineRule="atLeast"/>
              <w:jc w:val="center"/>
              <w:rPr>
                <w:rFonts w:hint="default" w:ascii="Times New Roman" w:hAnsi="Times New Roman" w:cs="Times New Roman"/>
                <w:szCs w:val="21"/>
                <w:highlight w:val="none"/>
              </w:rPr>
            </w:pPr>
          </w:p>
        </w:tc>
      </w:tr>
      <w:tr w14:paraId="41D2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DBB710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105-1</w:t>
            </w:r>
          </w:p>
        </w:tc>
        <w:tc>
          <w:tcPr>
            <w:tcW w:w="4732" w:type="dxa"/>
            <w:noWrap w:val="0"/>
            <w:vAlign w:val="center"/>
          </w:tcPr>
          <w:p w14:paraId="0A6C4A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施工驻地</w:t>
            </w:r>
          </w:p>
        </w:tc>
        <w:tc>
          <w:tcPr>
            <w:tcW w:w="749" w:type="dxa"/>
            <w:noWrap w:val="0"/>
            <w:vAlign w:val="center"/>
          </w:tcPr>
          <w:p w14:paraId="65FC7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56D65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11F1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3B3785">
            <w:pPr>
              <w:pageBreakBefore w:val="0"/>
              <w:kinsoku/>
              <w:wordWrap w:val="0"/>
              <w:bidi w:val="0"/>
              <w:spacing w:line="360" w:lineRule="atLeast"/>
              <w:jc w:val="center"/>
              <w:rPr>
                <w:rFonts w:hint="default" w:ascii="Times New Roman" w:hAnsi="Times New Roman" w:cs="Times New Roman"/>
                <w:szCs w:val="21"/>
                <w:highlight w:val="none"/>
              </w:rPr>
            </w:pPr>
          </w:p>
        </w:tc>
      </w:tr>
      <w:tr w14:paraId="6E19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8B0F8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105-2</w:t>
            </w:r>
          </w:p>
        </w:tc>
        <w:tc>
          <w:tcPr>
            <w:tcW w:w="4732" w:type="dxa"/>
            <w:noWrap w:val="0"/>
            <w:vAlign w:val="center"/>
          </w:tcPr>
          <w:p w14:paraId="7F80B98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工地试验室</w:t>
            </w:r>
          </w:p>
        </w:tc>
        <w:tc>
          <w:tcPr>
            <w:tcW w:w="749" w:type="dxa"/>
            <w:noWrap w:val="0"/>
            <w:vAlign w:val="center"/>
          </w:tcPr>
          <w:p w14:paraId="5A1D9D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110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C050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7D9F1">
            <w:pPr>
              <w:pageBreakBefore w:val="0"/>
              <w:kinsoku/>
              <w:wordWrap w:val="0"/>
              <w:bidi w:val="0"/>
              <w:spacing w:line="360" w:lineRule="atLeast"/>
              <w:jc w:val="center"/>
              <w:rPr>
                <w:rFonts w:hint="default" w:ascii="Times New Roman" w:hAnsi="Times New Roman" w:cs="Times New Roman"/>
                <w:szCs w:val="21"/>
                <w:highlight w:val="none"/>
              </w:rPr>
            </w:pPr>
          </w:p>
        </w:tc>
      </w:tr>
      <w:tr w14:paraId="44C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20E77F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105-3</w:t>
            </w:r>
          </w:p>
        </w:tc>
        <w:tc>
          <w:tcPr>
            <w:tcW w:w="4732" w:type="dxa"/>
            <w:noWrap w:val="0"/>
            <w:vAlign w:val="center"/>
          </w:tcPr>
          <w:p w14:paraId="10A494C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拌和站</w:t>
            </w:r>
          </w:p>
        </w:tc>
        <w:tc>
          <w:tcPr>
            <w:tcW w:w="749" w:type="dxa"/>
            <w:noWrap w:val="0"/>
            <w:vAlign w:val="center"/>
          </w:tcPr>
          <w:p w14:paraId="470612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DA703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D261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699991">
            <w:pPr>
              <w:pageBreakBefore w:val="0"/>
              <w:kinsoku/>
              <w:wordWrap w:val="0"/>
              <w:bidi w:val="0"/>
              <w:spacing w:line="360" w:lineRule="atLeast"/>
              <w:jc w:val="center"/>
              <w:rPr>
                <w:rFonts w:hint="default" w:ascii="Times New Roman" w:hAnsi="Times New Roman" w:cs="Times New Roman"/>
                <w:szCs w:val="21"/>
                <w:highlight w:val="none"/>
              </w:rPr>
            </w:pPr>
          </w:p>
        </w:tc>
      </w:tr>
      <w:tr w14:paraId="354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0A23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105-4</w:t>
            </w:r>
          </w:p>
        </w:tc>
        <w:tc>
          <w:tcPr>
            <w:tcW w:w="4732" w:type="dxa"/>
            <w:noWrap w:val="0"/>
            <w:vAlign w:val="center"/>
          </w:tcPr>
          <w:p w14:paraId="01E7CD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钢筋加工场</w:t>
            </w:r>
          </w:p>
        </w:tc>
        <w:tc>
          <w:tcPr>
            <w:tcW w:w="749" w:type="dxa"/>
            <w:noWrap w:val="0"/>
            <w:vAlign w:val="center"/>
          </w:tcPr>
          <w:p w14:paraId="577611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355B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971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0049A1">
            <w:pPr>
              <w:pageBreakBefore w:val="0"/>
              <w:kinsoku/>
              <w:wordWrap w:val="0"/>
              <w:bidi w:val="0"/>
              <w:spacing w:line="360" w:lineRule="atLeast"/>
              <w:jc w:val="center"/>
              <w:rPr>
                <w:rFonts w:hint="default" w:ascii="Times New Roman" w:hAnsi="Times New Roman" w:cs="Times New Roman"/>
                <w:szCs w:val="21"/>
                <w:highlight w:val="none"/>
              </w:rPr>
            </w:pPr>
          </w:p>
        </w:tc>
      </w:tr>
      <w:tr w14:paraId="755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355EB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105-5</w:t>
            </w:r>
          </w:p>
        </w:tc>
        <w:tc>
          <w:tcPr>
            <w:tcW w:w="4732" w:type="dxa"/>
            <w:noWrap w:val="0"/>
            <w:vAlign w:val="center"/>
          </w:tcPr>
          <w:p w14:paraId="437AA1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预制场</w:t>
            </w:r>
          </w:p>
        </w:tc>
        <w:tc>
          <w:tcPr>
            <w:tcW w:w="749" w:type="dxa"/>
            <w:noWrap w:val="0"/>
            <w:vAlign w:val="center"/>
          </w:tcPr>
          <w:p w14:paraId="4FBB23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E5BA9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7DE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EA20EB">
            <w:pPr>
              <w:pageBreakBefore w:val="0"/>
              <w:kinsoku/>
              <w:wordWrap w:val="0"/>
              <w:bidi w:val="0"/>
              <w:spacing w:line="360" w:lineRule="atLeast"/>
              <w:jc w:val="center"/>
              <w:rPr>
                <w:rFonts w:hint="default" w:ascii="Times New Roman" w:hAnsi="Times New Roman" w:cs="Times New Roman"/>
                <w:szCs w:val="21"/>
                <w:highlight w:val="none"/>
              </w:rPr>
            </w:pPr>
          </w:p>
        </w:tc>
      </w:tr>
      <w:tr w14:paraId="3AA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50748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105-6</w:t>
            </w:r>
          </w:p>
        </w:tc>
        <w:tc>
          <w:tcPr>
            <w:tcW w:w="4732" w:type="dxa"/>
            <w:noWrap w:val="0"/>
            <w:vAlign w:val="center"/>
          </w:tcPr>
          <w:p w14:paraId="05642EC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仓储存放地</w:t>
            </w:r>
          </w:p>
        </w:tc>
        <w:tc>
          <w:tcPr>
            <w:tcW w:w="749" w:type="dxa"/>
            <w:noWrap w:val="0"/>
            <w:vAlign w:val="center"/>
          </w:tcPr>
          <w:p w14:paraId="56BCBC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2E67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3B67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C1878">
            <w:pPr>
              <w:pageBreakBefore w:val="0"/>
              <w:kinsoku/>
              <w:wordWrap w:val="0"/>
              <w:bidi w:val="0"/>
              <w:spacing w:line="360" w:lineRule="atLeast"/>
              <w:jc w:val="center"/>
              <w:rPr>
                <w:rFonts w:hint="default" w:ascii="Times New Roman" w:hAnsi="Times New Roman" w:cs="Times New Roman"/>
                <w:szCs w:val="21"/>
                <w:highlight w:val="none"/>
              </w:rPr>
            </w:pPr>
          </w:p>
        </w:tc>
      </w:tr>
      <w:tr w14:paraId="59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697B9AC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105-7</w:t>
            </w:r>
          </w:p>
        </w:tc>
        <w:tc>
          <w:tcPr>
            <w:tcW w:w="4732" w:type="dxa"/>
            <w:noWrap w:val="0"/>
            <w:vAlign w:val="center"/>
          </w:tcPr>
          <w:p w14:paraId="2FCE5AF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各场（厂）区、作业区连接道路及施工主便道</w:t>
            </w:r>
          </w:p>
        </w:tc>
        <w:tc>
          <w:tcPr>
            <w:tcW w:w="749" w:type="dxa"/>
            <w:noWrap w:val="0"/>
            <w:vAlign w:val="center"/>
          </w:tcPr>
          <w:p w14:paraId="1FA4E59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D45D9C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7336B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10413E">
            <w:pPr>
              <w:pageBreakBefore w:val="0"/>
              <w:kinsoku/>
              <w:wordWrap w:val="0"/>
              <w:bidi w:val="0"/>
              <w:spacing w:line="360" w:lineRule="atLeast"/>
              <w:jc w:val="center"/>
              <w:rPr>
                <w:rFonts w:hint="default" w:ascii="Times New Roman" w:hAnsi="Times New Roman" w:cs="Times New Roman"/>
                <w:szCs w:val="21"/>
                <w:highlight w:val="none"/>
              </w:rPr>
            </w:pPr>
          </w:p>
        </w:tc>
      </w:tr>
      <w:tr w14:paraId="0F1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7B3A870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58624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9C1C48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D0B32B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4C2F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87C45D">
            <w:pPr>
              <w:pageBreakBefore w:val="0"/>
              <w:kinsoku/>
              <w:wordWrap w:val="0"/>
              <w:bidi w:val="0"/>
              <w:spacing w:line="360" w:lineRule="atLeast"/>
              <w:jc w:val="center"/>
              <w:rPr>
                <w:rFonts w:hint="default" w:ascii="Times New Roman" w:hAnsi="Times New Roman" w:cs="Times New Roman"/>
                <w:szCs w:val="21"/>
                <w:highlight w:val="none"/>
              </w:rPr>
            </w:pPr>
          </w:p>
        </w:tc>
      </w:tr>
      <w:tr w14:paraId="1C8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1E92E6">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清单第100章合计  人民币</w:t>
            </w:r>
            <w:r>
              <w:rPr>
                <w:rFonts w:hint="default" w:ascii="Times New Roman" w:hAnsi="Times New Roman" w:cs="Times New Roman"/>
                <w:szCs w:val="21"/>
                <w:highlight w:val="none"/>
                <w:u w:val="single"/>
              </w:rPr>
              <w:t xml:space="preserve">                    </w:t>
            </w:r>
          </w:p>
        </w:tc>
      </w:tr>
    </w:tbl>
    <w:p w14:paraId="1141508B">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07FE80D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E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35BC820">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30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A83C8E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2691DE8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77D87B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6AF11DB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90B5C7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78B3E8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0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CB047A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202</w:t>
            </w:r>
          </w:p>
        </w:tc>
        <w:tc>
          <w:tcPr>
            <w:tcW w:w="4732" w:type="dxa"/>
            <w:tcBorders>
              <w:top w:val="single" w:color="auto" w:sz="4" w:space="0"/>
              <w:left w:val="single" w:color="auto" w:sz="4" w:space="0"/>
              <w:right w:val="single" w:color="auto" w:sz="4" w:space="0"/>
            </w:tcBorders>
            <w:noWrap w:val="0"/>
            <w:vAlign w:val="center"/>
          </w:tcPr>
          <w:p w14:paraId="30511E2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场地清理</w:t>
            </w:r>
          </w:p>
        </w:tc>
        <w:tc>
          <w:tcPr>
            <w:tcW w:w="749" w:type="dxa"/>
            <w:tcBorders>
              <w:top w:val="single" w:color="auto" w:sz="4" w:space="0"/>
              <w:left w:val="single" w:color="auto" w:sz="4" w:space="0"/>
              <w:right w:val="single" w:color="auto" w:sz="4" w:space="0"/>
            </w:tcBorders>
            <w:noWrap w:val="0"/>
            <w:vAlign w:val="top"/>
          </w:tcPr>
          <w:p w14:paraId="4ED7171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831C5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4090E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92B99D4">
            <w:pPr>
              <w:pageBreakBefore w:val="0"/>
              <w:kinsoku/>
              <w:wordWrap w:val="0"/>
              <w:bidi w:val="0"/>
              <w:spacing w:line="360" w:lineRule="atLeast"/>
              <w:jc w:val="center"/>
              <w:rPr>
                <w:rFonts w:hint="default" w:ascii="Times New Roman" w:hAnsi="Times New Roman" w:cs="Times New Roman"/>
                <w:szCs w:val="21"/>
                <w:highlight w:val="none"/>
              </w:rPr>
            </w:pPr>
          </w:p>
        </w:tc>
      </w:tr>
      <w:tr w14:paraId="354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6E22E7D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202-1</w:t>
            </w:r>
          </w:p>
        </w:tc>
        <w:tc>
          <w:tcPr>
            <w:tcW w:w="4732" w:type="dxa"/>
            <w:tcBorders>
              <w:top w:val="single" w:color="auto" w:sz="4" w:space="0"/>
              <w:left w:val="single" w:color="auto" w:sz="4" w:space="0"/>
              <w:right w:val="single" w:color="auto" w:sz="4" w:space="0"/>
            </w:tcBorders>
            <w:noWrap w:val="0"/>
            <w:vAlign w:val="top"/>
          </w:tcPr>
          <w:p w14:paraId="1553252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清理与掘除</w:t>
            </w:r>
          </w:p>
        </w:tc>
        <w:tc>
          <w:tcPr>
            <w:tcW w:w="749" w:type="dxa"/>
            <w:tcBorders>
              <w:top w:val="single" w:color="auto" w:sz="4" w:space="0"/>
              <w:left w:val="single" w:color="auto" w:sz="4" w:space="0"/>
              <w:right w:val="single" w:color="auto" w:sz="4" w:space="0"/>
            </w:tcBorders>
            <w:noWrap w:val="0"/>
            <w:vAlign w:val="top"/>
          </w:tcPr>
          <w:p w14:paraId="046E0D5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D183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4A8EA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BE2B082">
            <w:pPr>
              <w:pageBreakBefore w:val="0"/>
              <w:kinsoku/>
              <w:wordWrap w:val="0"/>
              <w:bidi w:val="0"/>
              <w:spacing w:line="360" w:lineRule="atLeast"/>
              <w:jc w:val="center"/>
              <w:rPr>
                <w:rFonts w:hint="default" w:ascii="Times New Roman" w:hAnsi="Times New Roman" w:cs="Times New Roman"/>
                <w:szCs w:val="21"/>
                <w:highlight w:val="none"/>
              </w:rPr>
            </w:pPr>
          </w:p>
        </w:tc>
      </w:tr>
      <w:tr w14:paraId="29A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674B5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F62D90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清理现场</w:t>
            </w:r>
          </w:p>
        </w:tc>
        <w:tc>
          <w:tcPr>
            <w:tcW w:w="749" w:type="dxa"/>
            <w:noWrap w:val="0"/>
            <w:vAlign w:val="top"/>
          </w:tcPr>
          <w:p w14:paraId="1D3D512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DF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E94F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4824A3">
            <w:pPr>
              <w:pageBreakBefore w:val="0"/>
              <w:kinsoku/>
              <w:wordWrap w:val="0"/>
              <w:bidi w:val="0"/>
              <w:spacing w:line="360" w:lineRule="atLeast"/>
              <w:jc w:val="center"/>
              <w:rPr>
                <w:rFonts w:hint="default" w:ascii="Times New Roman" w:hAnsi="Times New Roman" w:cs="Times New Roman"/>
                <w:szCs w:val="21"/>
                <w:highlight w:val="none"/>
              </w:rPr>
            </w:pPr>
          </w:p>
        </w:tc>
      </w:tr>
      <w:tr w14:paraId="4A2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1E6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46E2A5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砍伐树木</w:t>
            </w:r>
          </w:p>
        </w:tc>
        <w:tc>
          <w:tcPr>
            <w:tcW w:w="749" w:type="dxa"/>
            <w:noWrap w:val="0"/>
            <w:vAlign w:val="top"/>
          </w:tcPr>
          <w:p w14:paraId="24FBA94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99AD8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39E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4EFEE1">
            <w:pPr>
              <w:pageBreakBefore w:val="0"/>
              <w:kinsoku/>
              <w:wordWrap w:val="0"/>
              <w:bidi w:val="0"/>
              <w:spacing w:line="360" w:lineRule="atLeast"/>
              <w:jc w:val="center"/>
              <w:rPr>
                <w:rFonts w:hint="default" w:ascii="Times New Roman" w:hAnsi="Times New Roman" w:cs="Times New Roman"/>
                <w:szCs w:val="21"/>
                <w:highlight w:val="none"/>
              </w:rPr>
            </w:pPr>
          </w:p>
        </w:tc>
      </w:tr>
      <w:tr w14:paraId="5E7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91DF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2D6A713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挖除树根</w:t>
            </w:r>
          </w:p>
        </w:tc>
        <w:tc>
          <w:tcPr>
            <w:tcW w:w="749" w:type="dxa"/>
            <w:noWrap w:val="0"/>
            <w:vAlign w:val="top"/>
          </w:tcPr>
          <w:p w14:paraId="73198A7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B0772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86C8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4CCEB9">
            <w:pPr>
              <w:pageBreakBefore w:val="0"/>
              <w:kinsoku/>
              <w:wordWrap w:val="0"/>
              <w:bidi w:val="0"/>
              <w:spacing w:line="360" w:lineRule="atLeast"/>
              <w:jc w:val="center"/>
              <w:rPr>
                <w:rFonts w:hint="default" w:ascii="Times New Roman" w:hAnsi="Times New Roman" w:cs="Times New Roman"/>
                <w:szCs w:val="21"/>
                <w:highlight w:val="none"/>
              </w:rPr>
            </w:pPr>
          </w:p>
        </w:tc>
      </w:tr>
      <w:tr w14:paraId="067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46FD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202-2</w:t>
            </w:r>
          </w:p>
        </w:tc>
        <w:tc>
          <w:tcPr>
            <w:tcW w:w="4732" w:type="dxa"/>
            <w:noWrap w:val="0"/>
            <w:vAlign w:val="top"/>
          </w:tcPr>
          <w:p w14:paraId="67CDF57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挖除旧路面</w:t>
            </w:r>
          </w:p>
        </w:tc>
        <w:tc>
          <w:tcPr>
            <w:tcW w:w="749" w:type="dxa"/>
            <w:noWrap w:val="0"/>
            <w:vAlign w:val="top"/>
          </w:tcPr>
          <w:p w14:paraId="4BB7BE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76EC3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5B92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A9DDDD">
            <w:pPr>
              <w:pageBreakBefore w:val="0"/>
              <w:kinsoku/>
              <w:wordWrap w:val="0"/>
              <w:bidi w:val="0"/>
              <w:spacing w:line="360" w:lineRule="atLeast"/>
              <w:jc w:val="center"/>
              <w:rPr>
                <w:rFonts w:hint="default" w:ascii="Times New Roman" w:hAnsi="Times New Roman" w:cs="Times New Roman"/>
                <w:szCs w:val="21"/>
                <w:highlight w:val="none"/>
              </w:rPr>
            </w:pPr>
          </w:p>
        </w:tc>
      </w:tr>
      <w:tr w14:paraId="4F8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C490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AB88AF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水泥混凝土路面</w:t>
            </w:r>
          </w:p>
        </w:tc>
        <w:tc>
          <w:tcPr>
            <w:tcW w:w="749" w:type="dxa"/>
            <w:noWrap w:val="0"/>
            <w:vAlign w:val="top"/>
          </w:tcPr>
          <w:p w14:paraId="12B21DE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41BD9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269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72524D">
            <w:pPr>
              <w:pageBreakBefore w:val="0"/>
              <w:kinsoku/>
              <w:wordWrap w:val="0"/>
              <w:bidi w:val="0"/>
              <w:spacing w:line="360" w:lineRule="atLeast"/>
              <w:jc w:val="center"/>
              <w:rPr>
                <w:rFonts w:hint="default" w:ascii="Times New Roman" w:hAnsi="Times New Roman" w:cs="Times New Roman"/>
                <w:szCs w:val="21"/>
                <w:highlight w:val="none"/>
              </w:rPr>
            </w:pPr>
          </w:p>
        </w:tc>
      </w:tr>
      <w:tr w14:paraId="336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3D0544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E6C083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沥青混凝土路面</w:t>
            </w:r>
          </w:p>
        </w:tc>
        <w:tc>
          <w:tcPr>
            <w:tcW w:w="749" w:type="dxa"/>
            <w:noWrap w:val="0"/>
            <w:vAlign w:val="top"/>
          </w:tcPr>
          <w:p w14:paraId="1AD542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82194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7CF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039A69">
            <w:pPr>
              <w:pageBreakBefore w:val="0"/>
              <w:kinsoku/>
              <w:wordWrap w:val="0"/>
              <w:bidi w:val="0"/>
              <w:spacing w:line="360" w:lineRule="atLeast"/>
              <w:jc w:val="center"/>
              <w:rPr>
                <w:rFonts w:hint="default" w:ascii="Times New Roman" w:hAnsi="Times New Roman" w:cs="Times New Roman"/>
                <w:szCs w:val="21"/>
                <w:highlight w:val="none"/>
              </w:rPr>
            </w:pPr>
          </w:p>
        </w:tc>
      </w:tr>
      <w:tr w14:paraId="5E1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E58D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19947E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碎石路面</w:t>
            </w:r>
          </w:p>
        </w:tc>
        <w:tc>
          <w:tcPr>
            <w:tcW w:w="749" w:type="dxa"/>
            <w:noWrap w:val="0"/>
            <w:vAlign w:val="top"/>
          </w:tcPr>
          <w:p w14:paraId="4B520DC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D4621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110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0C3BB">
            <w:pPr>
              <w:pageBreakBefore w:val="0"/>
              <w:kinsoku/>
              <w:wordWrap w:val="0"/>
              <w:bidi w:val="0"/>
              <w:spacing w:line="360" w:lineRule="atLeast"/>
              <w:jc w:val="center"/>
              <w:rPr>
                <w:rFonts w:hint="default" w:ascii="Times New Roman" w:hAnsi="Times New Roman" w:cs="Times New Roman"/>
                <w:szCs w:val="21"/>
                <w:highlight w:val="none"/>
              </w:rPr>
            </w:pPr>
          </w:p>
        </w:tc>
      </w:tr>
      <w:tr w14:paraId="2AE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60ABC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202-3</w:t>
            </w:r>
          </w:p>
        </w:tc>
        <w:tc>
          <w:tcPr>
            <w:tcW w:w="4732" w:type="dxa"/>
            <w:noWrap w:val="0"/>
            <w:vAlign w:val="top"/>
          </w:tcPr>
          <w:p w14:paraId="4EA0B5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拆除结构物</w:t>
            </w:r>
          </w:p>
        </w:tc>
        <w:tc>
          <w:tcPr>
            <w:tcW w:w="749" w:type="dxa"/>
            <w:noWrap w:val="0"/>
            <w:vAlign w:val="top"/>
          </w:tcPr>
          <w:p w14:paraId="3CCD59B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EBD4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4BA9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401A0D">
            <w:pPr>
              <w:pageBreakBefore w:val="0"/>
              <w:kinsoku/>
              <w:wordWrap w:val="0"/>
              <w:bidi w:val="0"/>
              <w:spacing w:line="360" w:lineRule="atLeast"/>
              <w:jc w:val="center"/>
              <w:rPr>
                <w:rFonts w:hint="default" w:ascii="Times New Roman" w:hAnsi="Times New Roman" w:cs="Times New Roman"/>
                <w:szCs w:val="21"/>
                <w:highlight w:val="none"/>
              </w:rPr>
            </w:pPr>
          </w:p>
        </w:tc>
      </w:tr>
      <w:tr w14:paraId="045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8AA4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DBA2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钢筋混凝土结构</w:t>
            </w:r>
          </w:p>
        </w:tc>
        <w:tc>
          <w:tcPr>
            <w:tcW w:w="749" w:type="dxa"/>
            <w:noWrap w:val="0"/>
            <w:vAlign w:val="top"/>
          </w:tcPr>
          <w:p w14:paraId="061C0B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E2F4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2171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43BA67">
            <w:pPr>
              <w:pageBreakBefore w:val="0"/>
              <w:kinsoku/>
              <w:wordWrap w:val="0"/>
              <w:bidi w:val="0"/>
              <w:spacing w:line="360" w:lineRule="atLeast"/>
              <w:jc w:val="center"/>
              <w:rPr>
                <w:rFonts w:hint="default" w:ascii="Times New Roman" w:hAnsi="Times New Roman" w:cs="Times New Roman"/>
                <w:szCs w:val="21"/>
                <w:highlight w:val="none"/>
              </w:rPr>
            </w:pPr>
          </w:p>
        </w:tc>
      </w:tr>
      <w:tr w14:paraId="4B9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16425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CCE6E9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混凝土结构</w:t>
            </w:r>
          </w:p>
        </w:tc>
        <w:tc>
          <w:tcPr>
            <w:tcW w:w="749" w:type="dxa"/>
            <w:noWrap w:val="0"/>
            <w:vAlign w:val="top"/>
          </w:tcPr>
          <w:p w14:paraId="47BCB68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B0D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F9FC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BA6BE">
            <w:pPr>
              <w:pageBreakBefore w:val="0"/>
              <w:kinsoku/>
              <w:wordWrap w:val="0"/>
              <w:bidi w:val="0"/>
              <w:spacing w:line="360" w:lineRule="atLeast"/>
              <w:jc w:val="center"/>
              <w:rPr>
                <w:rFonts w:hint="default" w:ascii="Times New Roman" w:hAnsi="Times New Roman" w:cs="Times New Roman"/>
                <w:szCs w:val="21"/>
                <w:highlight w:val="none"/>
              </w:rPr>
            </w:pPr>
          </w:p>
        </w:tc>
      </w:tr>
      <w:tr w14:paraId="663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8869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019C6EA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砖、石及其他砌体结构</w:t>
            </w:r>
          </w:p>
        </w:tc>
        <w:tc>
          <w:tcPr>
            <w:tcW w:w="749" w:type="dxa"/>
            <w:noWrap w:val="0"/>
            <w:vAlign w:val="top"/>
          </w:tcPr>
          <w:p w14:paraId="121CCA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528E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9F6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91601">
            <w:pPr>
              <w:pageBreakBefore w:val="0"/>
              <w:kinsoku/>
              <w:wordWrap w:val="0"/>
              <w:bidi w:val="0"/>
              <w:spacing w:line="360" w:lineRule="atLeast"/>
              <w:jc w:val="center"/>
              <w:rPr>
                <w:rFonts w:hint="default" w:ascii="Times New Roman" w:hAnsi="Times New Roman" w:cs="Times New Roman"/>
                <w:szCs w:val="21"/>
                <w:highlight w:val="none"/>
              </w:rPr>
            </w:pPr>
          </w:p>
        </w:tc>
      </w:tr>
      <w:tr w14:paraId="2A9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C44C9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center"/>
          </w:tcPr>
          <w:p w14:paraId="39F3436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金属结构</w:t>
            </w:r>
          </w:p>
        </w:tc>
        <w:tc>
          <w:tcPr>
            <w:tcW w:w="749" w:type="dxa"/>
            <w:noWrap w:val="0"/>
            <w:vAlign w:val="center"/>
          </w:tcPr>
          <w:p w14:paraId="4805329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32C8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26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C957B">
            <w:pPr>
              <w:pageBreakBefore w:val="0"/>
              <w:kinsoku/>
              <w:wordWrap w:val="0"/>
              <w:bidi w:val="0"/>
              <w:spacing w:line="360" w:lineRule="atLeast"/>
              <w:jc w:val="center"/>
              <w:rPr>
                <w:rFonts w:hint="default" w:ascii="Times New Roman" w:hAnsi="Times New Roman" w:cs="Times New Roman"/>
                <w:szCs w:val="21"/>
                <w:highlight w:val="none"/>
              </w:rPr>
            </w:pPr>
          </w:p>
        </w:tc>
      </w:tr>
      <w:tr w14:paraId="111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7CBB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202-4</w:t>
            </w:r>
          </w:p>
        </w:tc>
        <w:tc>
          <w:tcPr>
            <w:tcW w:w="4732" w:type="dxa"/>
            <w:noWrap w:val="0"/>
            <w:vAlign w:val="center"/>
          </w:tcPr>
          <w:p w14:paraId="2D14AE5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植物移栽</w:t>
            </w:r>
          </w:p>
        </w:tc>
        <w:tc>
          <w:tcPr>
            <w:tcW w:w="749" w:type="dxa"/>
            <w:noWrap w:val="0"/>
            <w:vAlign w:val="center"/>
          </w:tcPr>
          <w:p w14:paraId="4DCED3D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C3B92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1C5C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AB499">
            <w:pPr>
              <w:pageBreakBefore w:val="0"/>
              <w:kinsoku/>
              <w:wordWrap w:val="0"/>
              <w:bidi w:val="0"/>
              <w:spacing w:line="360" w:lineRule="atLeast"/>
              <w:jc w:val="center"/>
              <w:rPr>
                <w:rFonts w:hint="default" w:ascii="Times New Roman" w:hAnsi="Times New Roman" w:cs="Times New Roman"/>
                <w:szCs w:val="21"/>
                <w:highlight w:val="none"/>
              </w:rPr>
            </w:pPr>
          </w:p>
        </w:tc>
      </w:tr>
      <w:tr w14:paraId="698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B3E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1C135D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移栽乔（灌）木</w:t>
            </w:r>
          </w:p>
        </w:tc>
        <w:tc>
          <w:tcPr>
            <w:tcW w:w="749" w:type="dxa"/>
            <w:noWrap w:val="0"/>
            <w:vAlign w:val="center"/>
          </w:tcPr>
          <w:p w14:paraId="74BF450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78D3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AFD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2DB8E">
            <w:pPr>
              <w:pageBreakBefore w:val="0"/>
              <w:kinsoku/>
              <w:wordWrap w:val="0"/>
              <w:bidi w:val="0"/>
              <w:spacing w:line="360" w:lineRule="atLeast"/>
              <w:jc w:val="center"/>
              <w:rPr>
                <w:rFonts w:hint="default" w:ascii="Times New Roman" w:hAnsi="Times New Roman" w:cs="Times New Roman"/>
                <w:szCs w:val="21"/>
                <w:highlight w:val="none"/>
              </w:rPr>
            </w:pPr>
          </w:p>
        </w:tc>
      </w:tr>
      <w:tr w14:paraId="2DA3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821B5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4FF8F00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移栽草皮</w:t>
            </w:r>
          </w:p>
        </w:tc>
        <w:tc>
          <w:tcPr>
            <w:tcW w:w="749" w:type="dxa"/>
            <w:noWrap w:val="0"/>
            <w:vAlign w:val="center"/>
          </w:tcPr>
          <w:p w14:paraId="2AA53F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5698C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7B73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1CF32F">
            <w:pPr>
              <w:pageBreakBefore w:val="0"/>
              <w:kinsoku/>
              <w:wordWrap w:val="0"/>
              <w:bidi w:val="0"/>
              <w:spacing w:line="360" w:lineRule="atLeast"/>
              <w:jc w:val="center"/>
              <w:rPr>
                <w:rFonts w:hint="default" w:ascii="Times New Roman" w:hAnsi="Times New Roman" w:cs="Times New Roman"/>
                <w:szCs w:val="21"/>
                <w:highlight w:val="none"/>
              </w:rPr>
            </w:pPr>
          </w:p>
        </w:tc>
      </w:tr>
      <w:tr w14:paraId="636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5777A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203</w:t>
            </w:r>
          </w:p>
        </w:tc>
        <w:tc>
          <w:tcPr>
            <w:tcW w:w="4732" w:type="dxa"/>
            <w:noWrap w:val="0"/>
            <w:vAlign w:val="center"/>
          </w:tcPr>
          <w:p w14:paraId="4762ECA7">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挖方路基</w:t>
            </w:r>
          </w:p>
        </w:tc>
        <w:tc>
          <w:tcPr>
            <w:tcW w:w="749" w:type="dxa"/>
            <w:noWrap w:val="0"/>
            <w:vAlign w:val="top"/>
          </w:tcPr>
          <w:p w14:paraId="4657E9D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C5E7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0D7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484385">
            <w:pPr>
              <w:pageBreakBefore w:val="0"/>
              <w:kinsoku/>
              <w:wordWrap w:val="0"/>
              <w:bidi w:val="0"/>
              <w:spacing w:line="360" w:lineRule="atLeast"/>
              <w:jc w:val="center"/>
              <w:rPr>
                <w:rFonts w:hint="default" w:ascii="Times New Roman" w:hAnsi="Times New Roman" w:cs="Times New Roman"/>
                <w:szCs w:val="21"/>
                <w:highlight w:val="none"/>
              </w:rPr>
            </w:pPr>
          </w:p>
        </w:tc>
      </w:tr>
      <w:tr w14:paraId="678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0675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203-1</w:t>
            </w:r>
          </w:p>
        </w:tc>
        <w:tc>
          <w:tcPr>
            <w:tcW w:w="4732" w:type="dxa"/>
            <w:noWrap w:val="0"/>
            <w:vAlign w:val="top"/>
          </w:tcPr>
          <w:p w14:paraId="4110113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路基挖方</w:t>
            </w:r>
          </w:p>
        </w:tc>
        <w:tc>
          <w:tcPr>
            <w:tcW w:w="749" w:type="dxa"/>
            <w:noWrap w:val="0"/>
            <w:vAlign w:val="top"/>
          </w:tcPr>
          <w:p w14:paraId="46AB25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DA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162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1B3780">
            <w:pPr>
              <w:pageBreakBefore w:val="0"/>
              <w:kinsoku/>
              <w:wordWrap w:val="0"/>
              <w:bidi w:val="0"/>
              <w:spacing w:line="360" w:lineRule="atLeast"/>
              <w:jc w:val="center"/>
              <w:rPr>
                <w:rFonts w:hint="default" w:ascii="Times New Roman" w:hAnsi="Times New Roman" w:cs="Times New Roman"/>
                <w:szCs w:val="21"/>
                <w:highlight w:val="none"/>
              </w:rPr>
            </w:pPr>
          </w:p>
        </w:tc>
      </w:tr>
      <w:tr w14:paraId="462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14BD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2B2A16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166DB0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C0B1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27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C2274">
            <w:pPr>
              <w:pageBreakBefore w:val="0"/>
              <w:kinsoku/>
              <w:wordWrap w:val="0"/>
              <w:bidi w:val="0"/>
              <w:spacing w:line="360" w:lineRule="atLeast"/>
              <w:jc w:val="center"/>
              <w:rPr>
                <w:rFonts w:hint="default" w:ascii="Times New Roman" w:hAnsi="Times New Roman" w:cs="Times New Roman"/>
                <w:szCs w:val="21"/>
                <w:highlight w:val="none"/>
              </w:rPr>
            </w:pPr>
          </w:p>
        </w:tc>
      </w:tr>
      <w:tr w14:paraId="276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61C39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E2202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79B5C4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198CF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41F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8456A7">
            <w:pPr>
              <w:pageBreakBefore w:val="0"/>
              <w:kinsoku/>
              <w:wordWrap w:val="0"/>
              <w:bidi w:val="0"/>
              <w:spacing w:line="360" w:lineRule="atLeast"/>
              <w:jc w:val="center"/>
              <w:rPr>
                <w:rFonts w:hint="default" w:ascii="Times New Roman" w:hAnsi="Times New Roman" w:cs="Times New Roman"/>
                <w:szCs w:val="21"/>
                <w:highlight w:val="none"/>
              </w:rPr>
            </w:pPr>
          </w:p>
        </w:tc>
      </w:tr>
      <w:tr w14:paraId="246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D920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2EC3CFC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top"/>
          </w:tcPr>
          <w:p w14:paraId="1303B7C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C426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729E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8E74E">
            <w:pPr>
              <w:pageBreakBefore w:val="0"/>
              <w:kinsoku/>
              <w:wordWrap w:val="0"/>
              <w:bidi w:val="0"/>
              <w:spacing w:line="360" w:lineRule="atLeast"/>
              <w:jc w:val="center"/>
              <w:rPr>
                <w:rFonts w:hint="default" w:ascii="Times New Roman" w:hAnsi="Times New Roman" w:cs="Times New Roman"/>
                <w:szCs w:val="21"/>
                <w:highlight w:val="none"/>
              </w:rPr>
            </w:pPr>
          </w:p>
        </w:tc>
      </w:tr>
      <w:tr w14:paraId="56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C2C5D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top"/>
          </w:tcPr>
          <w:p w14:paraId="5B14AB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挖淤泥</w:t>
            </w:r>
          </w:p>
        </w:tc>
        <w:tc>
          <w:tcPr>
            <w:tcW w:w="749" w:type="dxa"/>
            <w:noWrap w:val="0"/>
            <w:vAlign w:val="top"/>
          </w:tcPr>
          <w:p w14:paraId="381A030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0212E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1F1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307D4D">
            <w:pPr>
              <w:pageBreakBefore w:val="0"/>
              <w:kinsoku/>
              <w:wordWrap w:val="0"/>
              <w:bidi w:val="0"/>
              <w:spacing w:line="360" w:lineRule="atLeast"/>
              <w:jc w:val="center"/>
              <w:rPr>
                <w:rFonts w:hint="default" w:ascii="Times New Roman" w:hAnsi="Times New Roman" w:cs="Times New Roman"/>
                <w:szCs w:val="21"/>
                <w:highlight w:val="none"/>
              </w:rPr>
            </w:pPr>
          </w:p>
        </w:tc>
      </w:tr>
      <w:tr w14:paraId="604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37C67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6AF7B3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noWrap w:val="0"/>
            <w:vAlign w:val="center"/>
          </w:tcPr>
          <w:p w14:paraId="628801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9A1D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0B3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55BA9D">
            <w:pPr>
              <w:pageBreakBefore w:val="0"/>
              <w:kinsoku/>
              <w:wordWrap w:val="0"/>
              <w:bidi w:val="0"/>
              <w:spacing w:line="360" w:lineRule="atLeast"/>
              <w:jc w:val="center"/>
              <w:rPr>
                <w:rFonts w:hint="default" w:ascii="Times New Roman" w:hAnsi="Times New Roman" w:cs="Times New Roman"/>
                <w:szCs w:val="21"/>
                <w:highlight w:val="none"/>
              </w:rPr>
            </w:pPr>
          </w:p>
        </w:tc>
      </w:tr>
      <w:tr w14:paraId="1B5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290B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087EE58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noWrap w:val="0"/>
            <w:vAlign w:val="center"/>
          </w:tcPr>
          <w:p w14:paraId="350FA8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59DEE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B78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C6BB7">
            <w:pPr>
              <w:pageBreakBefore w:val="0"/>
              <w:kinsoku/>
              <w:wordWrap w:val="0"/>
              <w:bidi w:val="0"/>
              <w:spacing w:line="360" w:lineRule="atLeast"/>
              <w:jc w:val="center"/>
              <w:rPr>
                <w:rFonts w:hint="default" w:ascii="Times New Roman" w:hAnsi="Times New Roman" w:cs="Times New Roman"/>
                <w:szCs w:val="21"/>
                <w:highlight w:val="none"/>
              </w:rPr>
            </w:pPr>
          </w:p>
        </w:tc>
      </w:tr>
      <w:tr w14:paraId="524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AC784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203-2</w:t>
            </w:r>
          </w:p>
        </w:tc>
        <w:tc>
          <w:tcPr>
            <w:tcW w:w="4732" w:type="dxa"/>
            <w:noWrap w:val="0"/>
            <w:vAlign w:val="top"/>
          </w:tcPr>
          <w:p w14:paraId="7CA548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改河、改渠、改路挖方</w:t>
            </w:r>
          </w:p>
        </w:tc>
        <w:tc>
          <w:tcPr>
            <w:tcW w:w="749" w:type="dxa"/>
            <w:noWrap w:val="0"/>
            <w:vAlign w:val="top"/>
          </w:tcPr>
          <w:p w14:paraId="295DF0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396D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C62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860AC6">
            <w:pPr>
              <w:pageBreakBefore w:val="0"/>
              <w:kinsoku/>
              <w:wordWrap w:val="0"/>
              <w:bidi w:val="0"/>
              <w:spacing w:line="360" w:lineRule="atLeast"/>
              <w:jc w:val="center"/>
              <w:rPr>
                <w:rFonts w:hint="default" w:ascii="Times New Roman" w:hAnsi="Times New Roman" w:cs="Times New Roman"/>
                <w:szCs w:val="21"/>
                <w:highlight w:val="none"/>
              </w:rPr>
            </w:pPr>
          </w:p>
        </w:tc>
      </w:tr>
      <w:tr w14:paraId="26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8FFB8D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DC6A88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3E17F88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E6C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C630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BABEE3">
            <w:pPr>
              <w:pageBreakBefore w:val="0"/>
              <w:kinsoku/>
              <w:wordWrap w:val="0"/>
              <w:bidi w:val="0"/>
              <w:spacing w:line="360" w:lineRule="atLeast"/>
              <w:jc w:val="center"/>
              <w:rPr>
                <w:rFonts w:hint="default" w:ascii="Times New Roman" w:hAnsi="Times New Roman" w:cs="Times New Roman"/>
                <w:szCs w:val="21"/>
                <w:highlight w:val="none"/>
              </w:rPr>
            </w:pPr>
          </w:p>
        </w:tc>
      </w:tr>
      <w:tr w14:paraId="661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387ED1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AB0F1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4DAB03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BD807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01AD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C1C09C">
            <w:pPr>
              <w:pageBreakBefore w:val="0"/>
              <w:kinsoku/>
              <w:wordWrap w:val="0"/>
              <w:bidi w:val="0"/>
              <w:spacing w:line="360" w:lineRule="atLeast"/>
              <w:jc w:val="center"/>
              <w:rPr>
                <w:rFonts w:hint="default" w:ascii="Times New Roman" w:hAnsi="Times New Roman" w:cs="Times New Roman"/>
                <w:szCs w:val="21"/>
                <w:highlight w:val="none"/>
              </w:rPr>
            </w:pPr>
          </w:p>
        </w:tc>
      </w:tr>
      <w:tr w14:paraId="03A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05E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192F5CD">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center"/>
          </w:tcPr>
          <w:p w14:paraId="13F6E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4069E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FC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DD9CF2">
            <w:pPr>
              <w:pageBreakBefore w:val="0"/>
              <w:kinsoku/>
              <w:wordWrap w:val="0"/>
              <w:bidi w:val="0"/>
              <w:spacing w:line="360" w:lineRule="atLeast"/>
              <w:jc w:val="center"/>
              <w:rPr>
                <w:rFonts w:hint="default" w:ascii="Times New Roman" w:hAnsi="Times New Roman" w:cs="Times New Roman"/>
                <w:szCs w:val="21"/>
                <w:highlight w:val="none"/>
              </w:rPr>
            </w:pPr>
          </w:p>
        </w:tc>
      </w:tr>
      <w:tr w14:paraId="47F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266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C9DCD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挖淤泥</w:t>
            </w:r>
          </w:p>
        </w:tc>
        <w:tc>
          <w:tcPr>
            <w:tcW w:w="749" w:type="dxa"/>
            <w:noWrap w:val="0"/>
            <w:vAlign w:val="center"/>
          </w:tcPr>
          <w:p w14:paraId="515A7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ED096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45F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CB81B">
            <w:pPr>
              <w:pageBreakBefore w:val="0"/>
              <w:kinsoku/>
              <w:wordWrap w:val="0"/>
              <w:bidi w:val="0"/>
              <w:spacing w:line="360" w:lineRule="atLeast"/>
              <w:jc w:val="center"/>
              <w:rPr>
                <w:rFonts w:hint="default" w:ascii="Times New Roman" w:hAnsi="Times New Roman" w:cs="Times New Roman"/>
                <w:szCs w:val="21"/>
                <w:highlight w:val="none"/>
              </w:rPr>
            </w:pPr>
          </w:p>
        </w:tc>
      </w:tr>
      <w:tr w14:paraId="050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4B75A3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349915D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tcBorders>
              <w:bottom w:val="single" w:color="auto" w:sz="4" w:space="0"/>
            </w:tcBorders>
            <w:noWrap w:val="0"/>
            <w:vAlign w:val="center"/>
          </w:tcPr>
          <w:p w14:paraId="612FD8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54A81B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C1C5C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1F71F91A">
            <w:pPr>
              <w:pageBreakBefore w:val="0"/>
              <w:kinsoku/>
              <w:wordWrap w:val="0"/>
              <w:bidi w:val="0"/>
              <w:spacing w:line="360" w:lineRule="atLeast"/>
              <w:jc w:val="center"/>
              <w:rPr>
                <w:rFonts w:hint="default" w:ascii="Times New Roman" w:hAnsi="Times New Roman" w:cs="Times New Roman"/>
                <w:szCs w:val="21"/>
                <w:highlight w:val="none"/>
              </w:rPr>
            </w:pPr>
          </w:p>
        </w:tc>
      </w:tr>
      <w:tr w14:paraId="274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032E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tcBorders>
              <w:bottom w:val="single" w:color="auto" w:sz="4" w:space="0"/>
            </w:tcBorders>
            <w:noWrap w:val="0"/>
            <w:vAlign w:val="center"/>
          </w:tcPr>
          <w:p w14:paraId="7148903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tcBorders>
              <w:bottom w:val="single" w:color="auto" w:sz="4" w:space="0"/>
            </w:tcBorders>
            <w:noWrap w:val="0"/>
            <w:vAlign w:val="center"/>
          </w:tcPr>
          <w:p w14:paraId="7E801F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7A3517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FE8B4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E4460AD">
            <w:pPr>
              <w:pageBreakBefore w:val="0"/>
              <w:kinsoku/>
              <w:wordWrap w:val="0"/>
              <w:bidi w:val="0"/>
              <w:spacing w:line="360" w:lineRule="atLeast"/>
              <w:jc w:val="center"/>
              <w:rPr>
                <w:rFonts w:hint="default" w:ascii="Times New Roman" w:hAnsi="Times New Roman" w:cs="Times New Roman"/>
                <w:szCs w:val="21"/>
                <w:highlight w:val="none"/>
              </w:rPr>
            </w:pPr>
          </w:p>
        </w:tc>
      </w:tr>
    </w:tbl>
    <w:p w14:paraId="55D3E6AC">
      <w:pPr>
        <w:pageBreakBefore w:val="0"/>
        <w:kinsoku/>
        <w:wordWrap w:val="0"/>
        <w:bidi w:val="0"/>
        <w:rPr>
          <w:rFonts w:hint="default" w:ascii="Times New Roman" w:hAnsi="Times New Roman" w:cs="Times New Roman"/>
          <w:sz w:val="10"/>
          <w:szCs w:val="10"/>
          <w:highlight w:val="none"/>
        </w:rPr>
      </w:pPr>
      <w:r>
        <w:rPr>
          <w:rFonts w:hint="default" w:ascii="Times New Roman" w:hAnsi="Times New Roman" w:cs="Times New Roman"/>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46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78879DD">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506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BB390E0">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2E54EA5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813814B">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84DCC6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67AF77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45ED2DD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2FC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B54A6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204</w:t>
            </w:r>
          </w:p>
        </w:tc>
        <w:tc>
          <w:tcPr>
            <w:tcW w:w="4732" w:type="dxa"/>
            <w:noWrap w:val="0"/>
            <w:vAlign w:val="center"/>
          </w:tcPr>
          <w:p w14:paraId="4CD681F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填方路基</w:t>
            </w:r>
          </w:p>
        </w:tc>
        <w:tc>
          <w:tcPr>
            <w:tcW w:w="749" w:type="dxa"/>
            <w:noWrap w:val="0"/>
            <w:vAlign w:val="top"/>
          </w:tcPr>
          <w:p w14:paraId="7DE7FAB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0419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A65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B28D0B">
            <w:pPr>
              <w:pageBreakBefore w:val="0"/>
              <w:kinsoku/>
              <w:wordWrap w:val="0"/>
              <w:bidi w:val="0"/>
              <w:spacing w:line="360" w:lineRule="atLeast"/>
              <w:jc w:val="center"/>
              <w:rPr>
                <w:rFonts w:hint="default" w:ascii="Times New Roman" w:hAnsi="Times New Roman" w:cs="Times New Roman"/>
                <w:szCs w:val="21"/>
                <w:highlight w:val="none"/>
              </w:rPr>
            </w:pPr>
          </w:p>
        </w:tc>
      </w:tr>
      <w:tr w14:paraId="3C50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DAA12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204-1</w:t>
            </w:r>
          </w:p>
        </w:tc>
        <w:tc>
          <w:tcPr>
            <w:tcW w:w="4732" w:type="dxa"/>
            <w:noWrap w:val="0"/>
            <w:vAlign w:val="top"/>
          </w:tcPr>
          <w:p w14:paraId="602764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路基填筑（包括填前压实）</w:t>
            </w:r>
          </w:p>
        </w:tc>
        <w:tc>
          <w:tcPr>
            <w:tcW w:w="749" w:type="dxa"/>
            <w:noWrap w:val="0"/>
            <w:vAlign w:val="top"/>
          </w:tcPr>
          <w:p w14:paraId="023CB8E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C8093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7599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4DF00D">
            <w:pPr>
              <w:pageBreakBefore w:val="0"/>
              <w:kinsoku/>
              <w:wordWrap w:val="0"/>
              <w:bidi w:val="0"/>
              <w:spacing w:line="360" w:lineRule="atLeast"/>
              <w:jc w:val="center"/>
              <w:rPr>
                <w:rFonts w:hint="default" w:ascii="Times New Roman" w:hAnsi="Times New Roman" w:cs="Times New Roman"/>
                <w:szCs w:val="21"/>
                <w:highlight w:val="none"/>
              </w:rPr>
            </w:pPr>
          </w:p>
        </w:tc>
      </w:tr>
      <w:tr w14:paraId="278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84B3D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4AF7043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center"/>
          </w:tcPr>
          <w:p w14:paraId="46391CC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AE63E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B03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BAE987">
            <w:pPr>
              <w:pageBreakBefore w:val="0"/>
              <w:kinsoku/>
              <w:wordWrap w:val="0"/>
              <w:bidi w:val="0"/>
              <w:spacing w:line="360" w:lineRule="atLeast"/>
              <w:jc w:val="center"/>
              <w:rPr>
                <w:rFonts w:hint="default" w:ascii="Times New Roman" w:hAnsi="Times New Roman" w:cs="Times New Roman"/>
                <w:szCs w:val="21"/>
                <w:highlight w:val="none"/>
              </w:rPr>
            </w:pPr>
          </w:p>
        </w:tc>
      </w:tr>
      <w:tr w14:paraId="3A6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81D97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08815F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center"/>
          </w:tcPr>
          <w:p w14:paraId="36655C6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33C0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C686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CFFA2">
            <w:pPr>
              <w:pageBreakBefore w:val="0"/>
              <w:kinsoku/>
              <w:wordWrap w:val="0"/>
              <w:bidi w:val="0"/>
              <w:spacing w:line="360" w:lineRule="atLeast"/>
              <w:jc w:val="center"/>
              <w:rPr>
                <w:rFonts w:hint="default" w:ascii="Times New Roman" w:hAnsi="Times New Roman" w:cs="Times New Roman"/>
                <w:szCs w:val="21"/>
                <w:highlight w:val="none"/>
              </w:rPr>
            </w:pPr>
          </w:p>
        </w:tc>
      </w:tr>
      <w:tr w14:paraId="21B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A8D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005650D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727083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DD228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544A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66113B">
            <w:pPr>
              <w:pageBreakBefore w:val="0"/>
              <w:kinsoku/>
              <w:wordWrap w:val="0"/>
              <w:bidi w:val="0"/>
              <w:spacing w:line="360" w:lineRule="atLeast"/>
              <w:jc w:val="center"/>
              <w:rPr>
                <w:rFonts w:hint="default" w:ascii="Times New Roman" w:hAnsi="Times New Roman" w:cs="Times New Roman"/>
                <w:szCs w:val="21"/>
                <w:highlight w:val="none"/>
              </w:rPr>
            </w:pPr>
          </w:p>
        </w:tc>
      </w:tr>
      <w:tr w14:paraId="301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EB6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4DD96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借土填方</w:t>
            </w:r>
          </w:p>
        </w:tc>
        <w:tc>
          <w:tcPr>
            <w:tcW w:w="749" w:type="dxa"/>
            <w:noWrap w:val="0"/>
            <w:vAlign w:val="center"/>
          </w:tcPr>
          <w:p w14:paraId="398B1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7BC04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5C61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F819A0">
            <w:pPr>
              <w:pageBreakBefore w:val="0"/>
              <w:kinsoku/>
              <w:wordWrap w:val="0"/>
              <w:bidi w:val="0"/>
              <w:spacing w:line="360" w:lineRule="atLeast"/>
              <w:jc w:val="center"/>
              <w:rPr>
                <w:rFonts w:hint="default" w:ascii="Times New Roman" w:hAnsi="Times New Roman" w:cs="Times New Roman"/>
                <w:szCs w:val="21"/>
                <w:highlight w:val="none"/>
              </w:rPr>
            </w:pPr>
          </w:p>
        </w:tc>
      </w:tr>
      <w:tr w14:paraId="53D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876E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1260CF4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粉煤灰及矿渣路堤</w:t>
            </w:r>
          </w:p>
        </w:tc>
        <w:tc>
          <w:tcPr>
            <w:tcW w:w="749" w:type="dxa"/>
            <w:noWrap w:val="0"/>
            <w:vAlign w:val="center"/>
          </w:tcPr>
          <w:p w14:paraId="48CD568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720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18CC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981931">
            <w:pPr>
              <w:pageBreakBefore w:val="0"/>
              <w:kinsoku/>
              <w:wordWrap w:val="0"/>
              <w:bidi w:val="0"/>
              <w:spacing w:line="360" w:lineRule="atLeast"/>
              <w:jc w:val="center"/>
              <w:rPr>
                <w:rFonts w:hint="default" w:ascii="Times New Roman" w:hAnsi="Times New Roman" w:cs="Times New Roman"/>
                <w:szCs w:val="21"/>
                <w:highlight w:val="none"/>
              </w:rPr>
            </w:pPr>
          </w:p>
        </w:tc>
      </w:tr>
      <w:tr w14:paraId="7B7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1EEE7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5817854A">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吹填砂路堤</w:t>
            </w:r>
          </w:p>
        </w:tc>
        <w:tc>
          <w:tcPr>
            <w:tcW w:w="749" w:type="dxa"/>
            <w:noWrap w:val="0"/>
            <w:vAlign w:val="center"/>
          </w:tcPr>
          <w:p w14:paraId="1C33649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0EE5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63C0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31309">
            <w:pPr>
              <w:pageBreakBefore w:val="0"/>
              <w:kinsoku/>
              <w:wordWrap w:val="0"/>
              <w:bidi w:val="0"/>
              <w:spacing w:line="360" w:lineRule="atLeast"/>
              <w:jc w:val="center"/>
              <w:rPr>
                <w:rFonts w:hint="default" w:ascii="Times New Roman" w:hAnsi="Times New Roman" w:cs="Times New Roman"/>
                <w:szCs w:val="21"/>
                <w:highlight w:val="none"/>
              </w:rPr>
            </w:pPr>
          </w:p>
        </w:tc>
      </w:tr>
      <w:tr w14:paraId="72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75B7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74DAE01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EPS路堤</w:t>
            </w:r>
          </w:p>
        </w:tc>
        <w:tc>
          <w:tcPr>
            <w:tcW w:w="749" w:type="dxa"/>
            <w:noWrap w:val="0"/>
            <w:vAlign w:val="center"/>
          </w:tcPr>
          <w:p w14:paraId="2D8811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51F83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0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7CFACE">
            <w:pPr>
              <w:pageBreakBefore w:val="0"/>
              <w:kinsoku/>
              <w:wordWrap w:val="0"/>
              <w:bidi w:val="0"/>
              <w:spacing w:line="360" w:lineRule="atLeast"/>
              <w:jc w:val="center"/>
              <w:rPr>
                <w:rFonts w:hint="default" w:ascii="Times New Roman" w:hAnsi="Times New Roman" w:cs="Times New Roman"/>
                <w:szCs w:val="21"/>
                <w:highlight w:val="none"/>
              </w:rPr>
            </w:pPr>
          </w:p>
        </w:tc>
      </w:tr>
      <w:tr w14:paraId="50B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F459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4732" w:type="dxa"/>
            <w:noWrap w:val="0"/>
            <w:vAlign w:val="center"/>
          </w:tcPr>
          <w:p w14:paraId="196FC9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结构物台背回填</w:t>
            </w:r>
          </w:p>
        </w:tc>
        <w:tc>
          <w:tcPr>
            <w:tcW w:w="749" w:type="dxa"/>
            <w:noWrap w:val="0"/>
            <w:vAlign w:val="center"/>
          </w:tcPr>
          <w:p w14:paraId="2BE7F1C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94864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F8B8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A4046E">
            <w:pPr>
              <w:pageBreakBefore w:val="0"/>
              <w:kinsoku/>
              <w:wordWrap w:val="0"/>
              <w:bidi w:val="0"/>
              <w:spacing w:line="360" w:lineRule="atLeast"/>
              <w:jc w:val="center"/>
              <w:rPr>
                <w:rFonts w:hint="default" w:ascii="Times New Roman" w:hAnsi="Times New Roman" w:cs="Times New Roman"/>
                <w:szCs w:val="21"/>
                <w:highlight w:val="none"/>
              </w:rPr>
            </w:pPr>
          </w:p>
        </w:tc>
      </w:tr>
      <w:tr w14:paraId="6C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07B16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-i</w:t>
            </w:r>
          </w:p>
        </w:tc>
        <w:tc>
          <w:tcPr>
            <w:tcW w:w="4732" w:type="dxa"/>
            <w:noWrap w:val="0"/>
            <w:vAlign w:val="center"/>
          </w:tcPr>
          <w:p w14:paraId="3B6283F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锥坡及台前溜坡填土</w:t>
            </w:r>
          </w:p>
        </w:tc>
        <w:tc>
          <w:tcPr>
            <w:tcW w:w="749" w:type="dxa"/>
            <w:noWrap w:val="0"/>
            <w:vAlign w:val="center"/>
          </w:tcPr>
          <w:p w14:paraId="652F988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D5A9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3D2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C8E475">
            <w:pPr>
              <w:pageBreakBefore w:val="0"/>
              <w:kinsoku/>
              <w:wordWrap w:val="0"/>
              <w:bidi w:val="0"/>
              <w:spacing w:line="360" w:lineRule="atLeast"/>
              <w:jc w:val="center"/>
              <w:rPr>
                <w:rFonts w:hint="default" w:ascii="Times New Roman" w:hAnsi="Times New Roman" w:cs="Times New Roman"/>
                <w:szCs w:val="21"/>
                <w:highlight w:val="none"/>
              </w:rPr>
            </w:pPr>
          </w:p>
        </w:tc>
      </w:tr>
      <w:tr w14:paraId="52F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3930D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204-2</w:t>
            </w:r>
          </w:p>
        </w:tc>
        <w:tc>
          <w:tcPr>
            <w:tcW w:w="4732" w:type="dxa"/>
            <w:noWrap w:val="0"/>
            <w:vAlign w:val="top"/>
          </w:tcPr>
          <w:p w14:paraId="3AD819D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改河、改渠、改路填筑</w:t>
            </w:r>
          </w:p>
        </w:tc>
        <w:tc>
          <w:tcPr>
            <w:tcW w:w="749" w:type="dxa"/>
            <w:noWrap w:val="0"/>
            <w:vAlign w:val="top"/>
          </w:tcPr>
          <w:p w14:paraId="67D8D14E">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1E8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A12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861EDB">
            <w:pPr>
              <w:pageBreakBefore w:val="0"/>
              <w:kinsoku/>
              <w:wordWrap w:val="0"/>
              <w:bidi w:val="0"/>
              <w:spacing w:line="360" w:lineRule="atLeast"/>
              <w:jc w:val="center"/>
              <w:rPr>
                <w:rFonts w:hint="default" w:ascii="Times New Roman" w:hAnsi="Times New Roman" w:cs="Times New Roman"/>
                <w:szCs w:val="21"/>
                <w:highlight w:val="none"/>
              </w:rPr>
            </w:pPr>
          </w:p>
        </w:tc>
      </w:tr>
      <w:tr w14:paraId="292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68EC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B2E3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top"/>
          </w:tcPr>
          <w:p w14:paraId="6E4809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04CAC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AB0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5120CF">
            <w:pPr>
              <w:pageBreakBefore w:val="0"/>
              <w:kinsoku/>
              <w:wordWrap w:val="0"/>
              <w:bidi w:val="0"/>
              <w:spacing w:line="360" w:lineRule="atLeast"/>
              <w:jc w:val="center"/>
              <w:rPr>
                <w:rFonts w:hint="default" w:ascii="Times New Roman" w:hAnsi="Times New Roman" w:cs="Times New Roman"/>
                <w:szCs w:val="21"/>
                <w:highlight w:val="none"/>
              </w:rPr>
            </w:pPr>
          </w:p>
        </w:tc>
      </w:tr>
      <w:tr w14:paraId="3DF7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0D3E3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0C77FA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top"/>
          </w:tcPr>
          <w:p w14:paraId="52F21E6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1AF6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5930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46487">
            <w:pPr>
              <w:pageBreakBefore w:val="0"/>
              <w:kinsoku/>
              <w:wordWrap w:val="0"/>
              <w:bidi w:val="0"/>
              <w:spacing w:line="360" w:lineRule="atLeast"/>
              <w:jc w:val="center"/>
              <w:rPr>
                <w:rFonts w:hint="default" w:ascii="Times New Roman" w:hAnsi="Times New Roman" w:cs="Times New Roman"/>
                <w:szCs w:val="21"/>
                <w:highlight w:val="none"/>
              </w:rPr>
            </w:pPr>
          </w:p>
        </w:tc>
      </w:tr>
      <w:tr w14:paraId="56D1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1E66A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4BB2814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0E0BD0D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45103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E660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8F94F">
            <w:pPr>
              <w:pageBreakBefore w:val="0"/>
              <w:kinsoku/>
              <w:wordWrap w:val="0"/>
              <w:bidi w:val="0"/>
              <w:spacing w:line="360" w:lineRule="atLeast"/>
              <w:jc w:val="center"/>
              <w:rPr>
                <w:rFonts w:hint="default" w:ascii="Times New Roman" w:hAnsi="Times New Roman" w:cs="Times New Roman"/>
                <w:szCs w:val="21"/>
                <w:highlight w:val="none"/>
              </w:rPr>
            </w:pPr>
          </w:p>
        </w:tc>
      </w:tr>
      <w:tr w14:paraId="33B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3E63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6C9B660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借土填方</w:t>
            </w:r>
          </w:p>
        </w:tc>
        <w:tc>
          <w:tcPr>
            <w:tcW w:w="749" w:type="dxa"/>
            <w:noWrap w:val="0"/>
            <w:vAlign w:val="center"/>
          </w:tcPr>
          <w:p w14:paraId="2CBEBE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D6CF5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58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74150">
            <w:pPr>
              <w:pageBreakBefore w:val="0"/>
              <w:kinsoku/>
              <w:wordWrap w:val="0"/>
              <w:bidi w:val="0"/>
              <w:spacing w:line="360" w:lineRule="atLeast"/>
              <w:jc w:val="center"/>
              <w:rPr>
                <w:rFonts w:hint="default" w:ascii="Times New Roman" w:hAnsi="Times New Roman" w:cs="Times New Roman"/>
                <w:szCs w:val="21"/>
                <w:highlight w:val="none"/>
              </w:rPr>
            </w:pPr>
          </w:p>
        </w:tc>
      </w:tr>
      <w:tr w14:paraId="5F3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0C860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205</w:t>
            </w:r>
          </w:p>
        </w:tc>
        <w:tc>
          <w:tcPr>
            <w:tcW w:w="4732" w:type="dxa"/>
            <w:noWrap w:val="0"/>
            <w:vAlign w:val="center"/>
          </w:tcPr>
          <w:p w14:paraId="059A693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特殊地区路基处理</w:t>
            </w:r>
          </w:p>
        </w:tc>
        <w:tc>
          <w:tcPr>
            <w:tcW w:w="749" w:type="dxa"/>
            <w:noWrap w:val="0"/>
            <w:vAlign w:val="top"/>
          </w:tcPr>
          <w:p w14:paraId="416BEA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4F1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FB97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94562">
            <w:pPr>
              <w:pageBreakBefore w:val="0"/>
              <w:kinsoku/>
              <w:wordWrap w:val="0"/>
              <w:bidi w:val="0"/>
              <w:spacing w:line="360" w:lineRule="atLeast"/>
              <w:jc w:val="center"/>
              <w:rPr>
                <w:rFonts w:hint="default" w:ascii="Times New Roman" w:hAnsi="Times New Roman" w:cs="Times New Roman"/>
                <w:szCs w:val="21"/>
                <w:highlight w:val="none"/>
              </w:rPr>
            </w:pPr>
          </w:p>
        </w:tc>
      </w:tr>
      <w:tr w14:paraId="177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D4DD6">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205-1</w:t>
            </w:r>
          </w:p>
        </w:tc>
        <w:tc>
          <w:tcPr>
            <w:tcW w:w="4732" w:type="dxa"/>
            <w:noWrap w:val="0"/>
            <w:vAlign w:val="top"/>
          </w:tcPr>
          <w:p w14:paraId="185170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软土路基处理</w:t>
            </w:r>
          </w:p>
        </w:tc>
        <w:tc>
          <w:tcPr>
            <w:tcW w:w="749" w:type="dxa"/>
            <w:noWrap w:val="0"/>
            <w:vAlign w:val="top"/>
          </w:tcPr>
          <w:p w14:paraId="0DD39BCD">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27293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13EE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E8AAFA">
            <w:pPr>
              <w:pageBreakBefore w:val="0"/>
              <w:kinsoku/>
              <w:wordWrap w:val="0"/>
              <w:bidi w:val="0"/>
              <w:spacing w:line="360" w:lineRule="atLeast"/>
              <w:jc w:val="center"/>
              <w:rPr>
                <w:rFonts w:hint="default" w:ascii="Times New Roman" w:hAnsi="Times New Roman" w:cs="Times New Roman"/>
                <w:szCs w:val="21"/>
                <w:highlight w:val="none"/>
              </w:rPr>
            </w:pPr>
          </w:p>
        </w:tc>
      </w:tr>
      <w:tr w14:paraId="759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6ED09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91BB6C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抛石挤淤</w:t>
            </w:r>
          </w:p>
        </w:tc>
        <w:tc>
          <w:tcPr>
            <w:tcW w:w="749" w:type="dxa"/>
            <w:noWrap w:val="0"/>
            <w:vAlign w:val="center"/>
          </w:tcPr>
          <w:p w14:paraId="490D3CB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5F4B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F584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686D4">
            <w:pPr>
              <w:pageBreakBefore w:val="0"/>
              <w:kinsoku/>
              <w:wordWrap w:val="0"/>
              <w:bidi w:val="0"/>
              <w:spacing w:line="360" w:lineRule="atLeast"/>
              <w:jc w:val="center"/>
              <w:rPr>
                <w:rFonts w:hint="default" w:ascii="Times New Roman" w:hAnsi="Times New Roman" w:cs="Times New Roman"/>
                <w:szCs w:val="21"/>
                <w:highlight w:val="none"/>
              </w:rPr>
            </w:pPr>
          </w:p>
        </w:tc>
      </w:tr>
      <w:tr w14:paraId="442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05FA5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B37DE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爆炸挤淤</w:t>
            </w:r>
          </w:p>
        </w:tc>
        <w:tc>
          <w:tcPr>
            <w:tcW w:w="749" w:type="dxa"/>
            <w:noWrap w:val="0"/>
            <w:vAlign w:val="center"/>
          </w:tcPr>
          <w:p w14:paraId="4E34D11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665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E715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070593">
            <w:pPr>
              <w:pageBreakBefore w:val="0"/>
              <w:kinsoku/>
              <w:wordWrap w:val="0"/>
              <w:bidi w:val="0"/>
              <w:spacing w:line="360" w:lineRule="atLeast"/>
              <w:jc w:val="center"/>
              <w:rPr>
                <w:rFonts w:hint="default" w:ascii="Times New Roman" w:hAnsi="Times New Roman" w:cs="Times New Roman"/>
                <w:szCs w:val="21"/>
                <w:highlight w:val="none"/>
              </w:rPr>
            </w:pPr>
          </w:p>
        </w:tc>
      </w:tr>
      <w:tr w14:paraId="2D7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CC484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CF72D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垫层</w:t>
            </w:r>
          </w:p>
        </w:tc>
        <w:tc>
          <w:tcPr>
            <w:tcW w:w="749" w:type="dxa"/>
            <w:noWrap w:val="0"/>
            <w:vAlign w:val="center"/>
          </w:tcPr>
          <w:p w14:paraId="2E7A5AA8">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067C0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736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7FDB47">
            <w:pPr>
              <w:pageBreakBefore w:val="0"/>
              <w:kinsoku/>
              <w:wordWrap w:val="0"/>
              <w:bidi w:val="0"/>
              <w:spacing w:line="360" w:lineRule="atLeast"/>
              <w:jc w:val="center"/>
              <w:rPr>
                <w:rFonts w:hint="default" w:ascii="Times New Roman" w:hAnsi="Times New Roman" w:cs="Times New Roman"/>
                <w:szCs w:val="21"/>
                <w:highlight w:val="none"/>
              </w:rPr>
            </w:pPr>
          </w:p>
        </w:tc>
      </w:tr>
      <w:tr w14:paraId="442D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82646D">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732" w:type="dxa"/>
            <w:noWrap w:val="0"/>
            <w:vAlign w:val="center"/>
          </w:tcPr>
          <w:p w14:paraId="4578A59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砂垫层</w:t>
            </w:r>
          </w:p>
        </w:tc>
        <w:tc>
          <w:tcPr>
            <w:tcW w:w="749" w:type="dxa"/>
            <w:noWrap w:val="0"/>
            <w:vAlign w:val="center"/>
          </w:tcPr>
          <w:p w14:paraId="136CDF66">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5F3B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DE2F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15F60E">
            <w:pPr>
              <w:pageBreakBefore w:val="0"/>
              <w:kinsoku/>
              <w:wordWrap w:val="0"/>
              <w:bidi w:val="0"/>
              <w:spacing w:line="360" w:lineRule="atLeast"/>
              <w:jc w:val="center"/>
              <w:rPr>
                <w:rFonts w:hint="default" w:ascii="Times New Roman" w:hAnsi="Times New Roman" w:cs="Times New Roman"/>
                <w:szCs w:val="21"/>
                <w:highlight w:val="none"/>
              </w:rPr>
            </w:pPr>
          </w:p>
        </w:tc>
      </w:tr>
      <w:tr w14:paraId="3D2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55BD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732" w:type="dxa"/>
            <w:noWrap w:val="0"/>
            <w:vAlign w:val="center"/>
          </w:tcPr>
          <w:p w14:paraId="76DB85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center"/>
          </w:tcPr>
          <w:p w14:paraId="17FE65B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D0CC6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119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9FFE71">
            <w:pPr>
              <w:pageBreakBefore w:val="0"/>
              <w:kinsoku/>
              <w:wordWrap w:val="0"/>
              <w:bidi w:val="0"/>
              <w:spacing w:line="360" w:lineRule="atLeast"/>
              <w:jc w:val="center"/>
              <w:rPr>
                <w:rFonts w:hint="default" w:ascii="Times New Roman" w:hAnsi="Times New Roman" w:cs="Times New Roman"/>
                <w:szCs w:val="21"/>
                <w:highlight w:val="none"/>
              </w:rPr>
            </w:pPr>
          </w:p>
        </w:tc>
      </w:tr>
      <w:tr w14:paraId="259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7DB05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732" w:type="dxa"/>
            <w:noWrap w:val="0"/>
            <w:vAlign w:val="center"/>
          </w:tcPr>
          <w:p w14:paraId="4FD174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noWrap w:val="0"/>
            <w:vAlign w:val="center"/>
          </w:tcPr>
          <w:p w14:paraId="3ABDD60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D1D4E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ADFB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154F1C">
            <w:pPr>
              <w:pageBreakBefore w:val="0"/>
              <w:kinsoku/>
              <w:wordWrap w:val="0"/>
              <w:bidi w:val="0"/>
              <w:spacing w:line="360" w:lineRule="atLeast"/>
              <w:jc w:val="center"/>
              <w:rPr>
                <w:rFonts w:hint="default" w:ascii="Times New Roman" w:hAnsi="Times New Roman" w:cs="Times New Roman"/>
                <w:szCs w:val="21"/>
                <w:highlight w:val="none"/>
              </w:rPr>
            </w:pPr>
          </w:p>
        </w:tc>
      </w:tr>
      <w:tr w14:paraId="4C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E03D01">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732" w:type="dxa"/>
            <w:noWrap w:val="0"/>
            <w:vAlign w:val="center"/>
          </w:tcPr>
          <w:p w14:paraId="70D1558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碎石土垫层</w:t>
            </w:r>
          </w:p>
        </w:tc>
        <w:tc>
          <w:tcPr>
            <w:tcW w:w="749" w:type="dxa"/>
            <w:noWrap w:val="0"/>
            <w:vAlign w:val="center"/>
          </w:tcPr>
          <w:p w14:paraId="331833A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A906F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6121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2E5900">
            <w:pPr>
              <w:pageBreakBefore w:val="0"/>
              <w:kinsoku/>
              <w:wordWrap w:val="0"/>
              <w:bidi w:val="0"/>
              <w:spacing w:line="360" w:lineRule="atLeast"/>
              <w:jc w:val="center"/>
              <w:rPr>
                <w:rFonts w:hint="default" w:ascii="Times New Roman" w:hAnsi="Times New Roman" w:cs="Times New Roman"/>
                <w:szCs w:val="21"/>
                <w:highlight w:val="none"/>
              </w:rPr>
            </w:pPr>
          </w:p>
        </w:tc>
      </w:tr>
      <w:tr w14:paraId="022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427A0">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732" w:type="dxa"/>
            <w:noWrap w:val="0"/>
            <w:vAlign w:val="center"/>
          </w:tcPr>
          <w:p w14:paraId="6C00271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灰土垫层</w:t>
            </w:r>
          </w:p>
        </w:tc>
        <w:tc>
          <w:tcPr>
            <w:tcW w:w="749" w:type="dxa"/>
            <w:noWrap w:val="0"/>
            <w:vAlign w:val="center"/>
          </w:tcPr>
          <w:p w14:paraId="2976EF2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631C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8B7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2C66D4">
            <w:pPr>
              <w:pageBreakBefore w:val="0"/>
              <w:kinsoku/>
              <w:wordWrap w:val="0"/>
              <w:bidi w:val="0"/>
              <w:spacing w:line="360" w:lineRule="atLeast"/>
              <w:jc w:val="center"/>
              <w:rPr>
                <w:rFonts w:hint="default" w:ascii="Times New Roman" w:hAnsi="Times New Roman" w:cs="Times New Roman"/>
                <w:szCs w:val="21"/>
                <w:highlight w:val="none"/>
              </w:rPr>
            </w:pPr>
          </w:p>
        </w:tc>
      </w:tr>
      <w:tr w14:paraId="6BE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408D6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36F9A4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土工合成材料</w:t>
            </w:r>
          </w:p>
        </w:tc>
        <w:tc>
          <w:tcPr>
            <w:tcW w:w="749" w:type="dxa"/>
            <w:noWrap w:val="0"/>
            <w:vAlign w:val="center"/>
          </w:tcPr>
          <w:p w14:paraId="38D378FD">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76CB53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E079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9424C">
            <w:pPr>
              <w:pageBreakBefore w:val="0"/>
              <w:kinsoku/>
              <w:wordWrap w:val="0"/>
              <w:bidi w:val="0"/>
              <w:spacing w:line="360" w:lineRule="atLeast"/>
              <w:jc w:val="center"/>
              <w:rPr>
                <w:rFonts w:hint="default" w:ascii="Times New Roman" w:hAnsi="Times New Roman" w:cs="Times New Roman"/>
                <w:szCs w:val="21"/>
                <w:highlight w:val="none"/>
              </w:rPr>
            </w:pPr>
          </w:p>
        </w:tc>
      </w:tr>
      <w:tr w14:paraId="06D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4CC9D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732" w:type="dxa"/>
            <w:noWrap w:val="0"/>
            <w:vAlign w:val="center"/>
          </w:tcPr>
          <w:p w14:paraId="4D167D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反滤土工布</w:t>
            </w:r>
          </w:p>
        </w:tc>
        <w:tc>
          <w:tcPr>
            <w:tcW w:w="749" w:type="dxa"/>
            <w:noWrap w:val="0"/>
            <w:vAlign w:val="center"/>
          </w:tcPr>
          <w:p w14:paraId="2C70099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AD9CF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F481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CCD765">
            <w:pPr>
              <w:pageBreakBefore w:val="0"/>
              <w:kinsoku/>
              <w:wordWrap w:val="0"/>
              <w:bidi w:val="0"/>
              <w:spacing w:line="360" w:lineRule="atLeast"/>
              <w:jc w:val="center"/>
              <w:rPr>
                <w:rFonts w:hint="default" w:ascii="Times New Roman" w:hAnsi="Times New Roman" w:cs="Times New Roman"/>
                <w:szCs w:val="21"/>
                <w:highlight w:val="none"/>
              </w:rPr>
            </w:pPr>
          </w:p>
        </w:tc>
      </w:tr>
      <w:tr w14:paraId="6DD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EB2C8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732" w:type="dxa"/>
            <w:noWrap w:val="0"/>
            <w:vAlign w:val="center"/>
          </w:tcPr>
          <w:p w14:paraId="27022E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防渗土工膜</w:t>
            </w:r>
          </w:p>
        </w:tc>
        <w:tc>
          <w:tcPr>
            <w:tcW w:w="749" w:type="dxa"/>
            <w:noWrap w:val="0"/>
            <w:vAlign w:val="center"/>
          </w:tcPr>
          <w:p w14:paraId="04299844">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2E1CD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B50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DD6F3C">
            <w:pPr>
              <w:pageBreakBefore w:val="0"/>
              <w:kinsoku/>
              <w:wordWrap w:val="0"/>
              <w:bidi w:val="0"/>
              <w:spacing w:line="360" w:lineRule="atLeast"/>
              <w:jc w:val="center"/>
              <w:rPr>
                <w:rFonts w:hint="default" w:ascii="Times New Roman" w:hAnsi="Times New Roman" w:cs="Times New Roman"/>
                <w:szCs w:val="21"/>
                <w:highlight w:val="none"/>
              </w:rPr>
            </w:pPr>
          </w:p>
        </w:tc>
      </w:tr>
      <w:tr w14:paraId="738A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00C84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-d-3</w:t>
            </w:r>
          </w:p>
        </w:tc>
        <w:tc>
          <w:tcPr>
            <w:tcW w:w="4732" w:type="dxa"/>
            <w:noWrap w:val="0"/>
            <w:vAlign w:val="center"/>
          </w:tcPr>
          <w:p w14:paraId="662EEC1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土工格栅</w:t>
            </w:r>
          </w:p>
        </w:tc>
        <w:tc>
          <w:tcPr>
            <w:tcW w:w="749" w:type="dxa"/>
            <w:noWrap w:val="0"/>
            <w:vAlign w:val="center"/>
          </w:tcPr>
          <w:p w14:paraId="34E91775">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82280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0FEF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02288B">
            <w:pPr>
              <w:pageBreakBefore w:val="0"/>
              <w:kinsoku/>
              <w:wordWrap w:val="0"/>
              <w:bidi w:val="0"/>
              <w:spacing w:line="360" w:lineRule="atLeast"/>
              <w:jc w:val="center"/>
              <w:rPr>
                <w:rFonts w:hint="default" w:ascii="Times New Roman" w:hAnsi="Times New Roman" w:cs="Times New Roman"/>
                <w:szCs w:val="21"/>
                <w:highlight w:val="none"/>
              </w:rPr>
            </w:pPr>
          </w:p>
        </w:tc>
      </w:tr>
      <w:tr w14:paraId="224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3688ED8B">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-d-4</w:t>
            </w:r>
          </w:p>
        </w:tc>
        <w:tc>
          <w:tcPr>
            <w:tcW w:w="4732" w:type="dxa"/>
            <w:tcBorders>
              <w:bottom w:val="single" w:color="auto" w:sz="4" w:space="0"/>
            </w:tcBorders>
            <w:noWrap w:val="0"/>
            <w:vAlign w:val="center"/>
          </w:tcPr>
          <w:p w14:paraId="6FDC76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土工格室</w:t>
            </w:r>
          </w:p>
        </w:tc>
        <w:tc>
          <w:tcPr>
            <w:tcW w:w="749" w:type="dxa"/>
            <w:tcBorders>
              <w:bottom w:val="single" w:color="auto" w:sz="4" w:space="0"/>
            </w:tcBorders>
            <w:noWrap w:val="0"/>
            <w:vAlign w:val="center"/>
          </w:tcPr>
          <w:p w14:paraId="08BEA35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bottom w:val="single" w:color="auto" w:sz="4" w:space="0"/>
            </w:tcBorders>
            <w:noWrap w:val="0"/>
            <w:vAlign w:val="center"/>
          </w:tcPr>
          <w:p w14:paraId="329AB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65203C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4271D7B8">
            <w:pPr>
              <w:pageBreakBefore w:val="0"/>
              <w:kinsoku/>
              <w:wordWrap w:val="0"/>
              <w:bidi w:val="0"/>
              <w:spacing w:line="360" w:lineRule="atLeast"/>
              <w:jc w:val="center"/>
              <w:rPr>
                <w:rFonts w:hint="default" w:ascii="Times New Roman" w:hAnsi="Times New Roman" w:cs="Times New Roman"/>
                <w:szCs w:val="21"/>
                <w:highlight w:val="none"/>
              </w:rPr>
            </w:pPr>
          </w:p>
        </w:tc>
      </w:tr>
      <w:tr w14:paraId="7E7D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7B449B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058E36F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预压与超载预压</w:t>
            </w:r>
          </w:p>
        </w:tc>
        <w:tc>
          <w:tcPr>
            <w:tcW w:w="749" w:type="dxa"/>
            <w:tcBorders>
              <w:bottom w:val="single" w:color="auto" w:sz="4" w:space="0"/>
            </w:tcBorders>
            <w:noWrap w:val="0"/>
            <w:vAlign w:val="center"/>
          </w:tcPr>
          <w:p w14:paraId="2A7039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bottom w:val="single" w:color="auto" w:sz="4" w:space="0"/>
            </w:tcBorders>
            <w:noWrap w:val="0"/>
            <w:vAlign w:val="center"/>
          </w:tcPr>
          <w:p w14:paraId="067583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346FD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AE4C383">
            <w:pPr>
              <w:pageBreakBefore w:val="0"/>
              <w:kinsoku/>
              <w:wordWrap w:val="0"/>
              <w:bidi w:val="0"/>
              <w:spacing w:line="360" w:lineRule="atLeast"/>
              <w:jc w:val="center"/>
              <w:rPr>
                <w:rFonts w:hint="default" w:ascii="Times New Roman" w:hAnsi="Times New Roman" w:cs="Times New Roman"/>
                <w:szCs w:val="21"/>
                <w:highlight w:val="none"/>
              </w:rPr>
            </w:pPr>
          </w:p>
        </w:tc>
      </w:tr>
      <w:tr w14:paraId="50E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noWrap w:val="0"/>
            <w:vAlign w:val="center"/>
          </w:tcPr>
          <w:p w14:paraId="02D3A2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732" w:type="dxa"/>
            <w:tcBorders>
              <w:top w:val="single" w:color="auto" w:sz="4" w:space="0"/>
            </w:tcBorders>
            <w:noWrap w:val="0"/>
            <w:vAlign w:val="center"/>
          </w:tcPr>
          <w:p w14:paraId="053B5F3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真空预压</w:t>
            </w:r>
          </w:p>
        </w:tc>
        <w:tc>
          <w:tcPr>
            <w:tcW w:w="749" w:type="dxa"/>
            <w:tcBorders>
              <w:top w:val="single" w:color="auto" w:sz="4" w:space="0"/>
            </w:tcBorders>
            <w:noWrap w:val="0"/>
            <w:vAlign w:val="center"/>
          </w:tcPr>
          <w:p w14:paraId="280188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top w:val="single" w:color="auto" w:sz="4" w:space="0"/>
            </w:tcBorders>
            <w:noWrap w:val="0"/>
            <w:vAlign w:val="center"/>
          </w:tcPr>
          <w:p w14:paraId="1C310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tcBorders>
            <w:noWrap w:val="0"/>
            <w:vAlign w:val="center"/>
          </w:tcPr>
          <w:p w14:paraId="004AEF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right w:val="single" w:color="auto" w:sz="12" w:space="0"/>
            </w:tcBorders>
            <w:noWrap w:val="0"/>
            <w:vAlign w:val="center"/>
          </w:tcPr>
          <w:p w14:paraId="52147DBD">
            <w:pPr>
              <w:pageBreakBefore w:val="0"/>
              <w:kinsoku/>
              <w:wordWrap w:val="0"/>
              <w:bidi w:val="0"/>
              <w:spacing w:line="360" w:lineRule="atLeast"/>
              <w:jc w:val="center"/>
              <w:rPr>
                <w:rFonts w:hint="default" w:ascii="Times New Roman" w:hAnsi="Times New Roman" w:cs="Times New Roman"/>
                <w:szCs w:val="21"/>
                <w:highlight w:val="none"/>
              </w:rPr>
            </w:pPr>
          </w:p>
        </w:tc>
      </w:tr>
      <w:tr w14:paraId="251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0A83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732" w:type="dxa"/>
            <w:noWrap w:val="0"/>
            <w:vAlign w:val="center"/>
          </w:tcPr>
          <w:p w14:paraId="3DC8490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超载预压</w:t>
            </w:r>
          </w:p>
        </w:tc>
        <w:tc>
          <w:tcPr>
            <w:tcW w:w="749" w:type="dxa"/>
            <w:noWrap w:val="0"/>
            <w:vAlign w:val="center"/>
          </w:tcPr>
          <w:p w14:paraId="34F828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C7F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41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2FFC9">
            <w:pPr>
              <w:pageBreakBefore w:val="0"/>
              <w:kinsoku/>
              <w:wordWrap w:val="0"/>
              <w:bidi w:val="0"/>
              <w:spacing w:line="360" w:lineRule="atLeast"/>
              <w:jc w:val="center"/>
              <w:rPr>
                <w:rFonts w:hint="default" w:ascii="Times New Roman" w:hAnsi="Times New Roman" w:cs="Times New Roman"/>
                <w:szCs w:val="21"/>
                <w:highlight w:val="none"/>
              </w:rPr>
            </w:pPr>
          </w:p>
        </w:tc>
      </w:tr>
      <w:tr w14:paraId="698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CF64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1429CD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袋装砂井</w:t>
            </w:r>
          </w:p>
        </w:tc>
        <w:tc>
          <w:tcPr>
            <w:tcW w:w="749" w:type="dxa"/>
            <w:noWrap w:val="0"/>
            <w:vAlign w:val="center"/>
          </w:tcPr>
          <w:p w14:paraId="42FE11B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D4B8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A73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CBDDEB">
            <w:pPr>
              <w:pageBreakBefore w:val="0"/>
              <w:kinsoku/>
              <w:wordWrap w:val="0"/>
              <w:bidi w:val="0"/>
              <w:spacing w:line="360" w:lineRule="atLeast"/>
              <w:jc w:val="center"/>
              <w:rPr>
                <w:rFonts w:hint="default" w:ascii="Times New Roman" w:hAnsi="Times New Roman" w:cs="Times New Roman"/>
                <w:szCs w:val="21"/>
                <w:highlight w:val="none"/>
              </w:rPr>
            </w:pPr>
          </w:p>
        </w:tc>
      </w:tr>
      <w:tr w14:paraId="598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540D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39A42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塑料排水板</w:t>
            </w:r>
          </w:p>
        </w:tc>
        <w:tc>
          <w:tcPr>
            <w:tcW w:w="749" w:type="dxa"/>
            <w:noWrap w:val="0"/>
            <w:vAlign w:val="center"/>
          </w:tcPr>
          <w:p w14:paraId="3B5ECA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77967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18D6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F600">
            <w:pPr>
              <w:pageBreakBefore w:val="0"/>
              <w:kinsoku/>
              <w:wordWrap w:val="0"/>
              <w:bidi w:val="0"/>
              <w:spacing w:line="360" w:lineRule="atLeast"/>
              <w:jc w:val="center"/>
              <w:rPr>
                <w:rFonts w:hint="default" w:ascii="Times New Roman" w:hAnsi="Times New Roman" w:cs="Times New Roman"/>
                <w:szCs w:val="21"/>
                <w:highlight w:val="none"/>
              </w:rPr>
            </w:pPr>
          </w:p>
        </w:tc>
      </w:tr>
      <w:tr w14:paraId="7EE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4B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732" w:type="dxa"/>
            <w:noWrap w:val="0"/>
            <w:vAlign w:val="center"/>
          </w:tcPr>
          <w:p w14:paraId="352BAD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粒料桩</w:t>
            </w:r>
          </w:p>
        </w:tc>
        <w:tc>
          <w:tcPr>
            <w:tcW w:w="749" w:type="dxa"/>
            <w:noWrap w:val="0"/>
            <w:vAlign w:val="center"/>
          </w:tcPr>
          <w:p w14:paraId="5658965B">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F1F1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FF1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0D93A">
            <w:pPr>
              <w:pageBreakBefore w:val="0"/>
              <w:kinsoku/>
              <w:wordWrap w:val="0"/>
              <w:bidi w:val="0"/>
              <w:spacing w:line="360" w:lineRule="atLeast"/>
              <w:jc w:val="center"/>
              <w:rPr>
                <w:rFonts w:hint="default" w:ascii="Times New Roman" w:hAnsi="Times New Roman" w:cs="Times New Roman"/>
                <w:szCs w:val="21"/>
                <w:highlight w:val="none"/>
              </w:rPr>
            </w:pPr>
          </w:p>
        </w:tc>
      </w:tr>
      <w:tr w14:paraId="113D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B0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-h-1</w:t>
            </w:r>
          </w:p>
        </w:tc>
        <w:tc>
          <w:tcPr>
            <w:tcW w:w="4732" w:type="dxa"/>
            <w:noWrap w:val="0"/>
            <w:vAlign w:val="center"/>
          </w:tcPr>
          <w:p w14:paraId="732968C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砂桩</w:t>
            </w:r>
          </w:p>
        </w:tc>
        <w:tc>
          <w:tcPr>
            <w:tcW w:w="749" w:type="dxa"/>
            <w:noWrap w:val="0"/>
            <w:vAlign w:val="center"/>
          </w:tcPr>
          <w:p w14:paraId="314F0AF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E182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CCE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CFBFF3">
            <w:pPr>
              <w:pageBreakBefore w:val="0"/>
              <w:kinsoku/>
              <w:wordWrap w:val="0"/>
              <w:bidi w:val="0"/>
              <w:spacing w:line="360" w:lineRule="atLeast"/>
              <w:jc w:val="center"/>
              <w:rPr>
                <w:rFonts w:hint="default" w:ascii="Times New Roman" w:hAnsi="Times New Roman" w:cs="Times New Roman"/>
                <w:szCs w:val="21"/>
                <w:highlight w:val="none"/>
              </w:rPr>
            </w:pPr>
          </w:p>
        </w:tc>
      </w:tr>
      <w:tr w14:paraId="1901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C909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-h-2</w:t>
            </w:r>
          </w:p>
        </w:tc>
        <w:tc>
          <w:tcPr>
            <w:tcW w:w="4732" w:type="dxa"/>
            <w:noWrap w:val="0"/>
            <w:vAlign w:val="center"/>
          </w:tcPr>
          <w:p w14:paraId="399BCF6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碎石桩</w:t>
            </w:r>
          </w:p>
        </w:tc>
        <w:tc>
          <w:tcPr>
            <w:tcW w:w="749" w:type="dxa"/>
            <w:noWrap w:val="0"/>
            <w:vAlign w:val="center"/>
          </w:tcPr>
          <w:p w14:paraId="2692C4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0D629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2A5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89C503">
            <w:pPr>
              <w:pageBreakBefore w:val="0"/>
              <w:kinsoku/>
              <w:wordWrap w:val="0"/>
              <w:bidi w:val="0"/>
              <w:spacing w:line="360" w:lineRule="atLeast"/>
              <w:jc w:val="center"/>
              <w:rPr>
                <w:rFonts w:hint="default" w:ascii="Times New Roman" w:hAnsi="Times New Roman" w:cs="Times New Roman"/>
                <w:szCs w:val="21"/>
                <w:highlight w:val="none"/>
              </w:rPr>
            </w:pPr>
          </w:p>
        </w:tc>
      </w:tr>
      <w:tr w14:paraId="290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2DAB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732" w:type="dxa"/>
            <w:noWrap w:val="0"/>
            <w:vAlign w:val="center"/>
          </w:tcPr>
          <w:p w14:paraId="0DC776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加固土桩</w:t>
            </w:r>
          </w:p>
        </w:tc>
        <w:tc>
          <w:tcPr>
            <w:tcW w:w="749" w:type="dxa"/>
            <w:noWrap w:val="0"/>
            <w:vAlign w:val="center"/>
          </w:tcPr>
          <w:p w14:paraId="2FA3DFE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C76D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3F11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FC536">
            <w:pPr>
              <w:pageBreakBefore w:val="0"/>
              <w:kinsoku/>
              <w:wordWrap w:val="0"/>
              <w:bidi w:val="0"/>
              <w:spacing w:line="360" w:lineRule="atLeast"/>
              <w:jc w:val="center"/>
              <w:rPr>
                <w:rFonts w:hint="default" w:ascii="Times New Roman" w:hAnsi="Times New Roman" w:cs="Times New Roman"/>
                <w:szCs w:val="21"/>
                <w:highlight w:val="none"/>
              </w:rPr>
            </w:pPr>
          </w:p>
        </w:tc>
      </w:tr>
      <w:tr w14:paraId="772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A36E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-i-1</w:t>
            </w:r>
          </w:p>
        </w:tc>
        <w:tc>
          <w:tcPr>
            <w:tcW w:w="4732" w:type="dxa"/>
            <w:noWrap w:val="0"/>
            <w:vAlign w:val="center"/>
          </w:tcPr>
          <w:p w14:paraId="6BCE2D0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粉喷桩</w:t>
            </w:r>
          </w:p>
        </w:tc>
        <w:tc>
          <w:tcPr>
            <w:tcW w:w="749" w:type="dxa"/>
            <w:noWrap w:val="0"/>
            <w:vAlign w:val="center"/>
          </w:tcPr>
          <w:p w14:paraId="189B19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16E8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2FB40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C7951">
            <w:pPr>
              <w:pageBreakBefore w:val="0"/>
              <w:kinsoku/>
              <w:wordWrap w:val="0"/>
              <w:bidi w:val="0"/>
              <w:spacing w:line="360" w:lineRule="atLeast"/>
              <w:jc w:val="center"/>
              <w:rPr>
                <w:rFonts w:hint="default" w:ascii="Times New Roman" w:hAnsi="Times New Roman" w:cs="Times New Roman"/>
                <w:szCs w:val="21"/>
                <w:highlight w:val="none"/>
              </w:rPr>
            </w:pPr>
          </w:p>
        </w:tc>
      </w:tr>
      <w:tr w14:paraId="3D8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C061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-i-2</w:t>
            </w:r>
          </w:p>
        </w:tc>
        <w:tc>
          <w:tcPr>
            <w:tcW w:w="4732" w:type="dxa"/>
            <w:noWrap w:val="0"/>
            <w:vAlign w:val="center"/>
          </w:tcPr>
          <w:p w14:paraId="2739F8C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浆喷桩</w:t>
            </w:r>
          </w:p>
        </w:tc>
        <w:tc>
          <w:tcPr>
            <w:tcW w:w="749" w:type="dxa"/>
            <w:noWrap w:val="0"/>
            <w:vAlign w:val="center"/>
          </w:tcPr>
          <w:p w14:paraId="36E064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AF5E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A41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7A838A">
            <w:pPr>
              <w:pageBreakBefore w:val="0"/>
              <w:kinsoku/>
              <w:wordWrap w:val="0"/>
              <w:bidi w:val="0"/>
              <w:spacing w:line="360" w:lineRule="atLeast"/>
              <w:jc w:val="center"/>
              <w:rPr>
                <w:rFonts w:hint="default" w:ascii="Times New Roman" w:hAnsi="Times New Roman" w:cs="Times New Roman"/>
                <w:szCs w:val="21"/>
                <w:highlight w:val="none"/>
              </w:rPr>
            </w:pPr>
          </w:p>
        </w:tc>
      </w:tr>
      <w:tr w14:paraId="646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01B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732" w:type="dxa"/>
            <w:noWrap w:val="0"/>
            <w:vAlign w:val="center"/>
          </w:tcPr>
          <w:p w14:paraId="68A7F67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CFG桩</w:t>
            </w:r>
          </w:p>
        </w:tc>
        <w:tc>
          <w:tcPr>
            <w:tcW w:w="749" w:type="dxa"/>
            <w:noWrap w:val="0"/>
            <w:vAlign w:val="center"/>
          </w:tcPr>
          <w:p w14:paraId="4354F5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6D64D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D48A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564C01">
            <w:pPr>
              <w:pageBreakBefore w:val="0"/>
              <w:kinsoku/>
              <w:wordWrap w:val="0"/>
              <w:bidi w:val="0"/>
              <w:spacing w:line="360" w:lineRule="atLeast"/>
              <w:jc w:val="center"/>
              <w:rPr>
                <w:rFonts w:hint="default" w:ascii="Times New Roman" w:hAnsi="Times New Roman" w:cs="Times New Roman"/>
                <w:szCs w:val="21"/>
                <w:highlight w:val="none"/>
              </w:rPr>
            </w:pPr>
          </w:p>
        </w:tc>
      </w:tr>
      <w:tr w14:paraId="08C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1FDC8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732" w:type="dxa"/>
            <w:noWrap w:val="0"/>
            <w:vAlign w:val="center"/>
          </w:tcPr>
          <w:p w14:paraId="7B4F6DE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Y形沉管灌注桩</w:t>
            </w:r>
          </w:p>
        </w:tc>
        <w:tc>
          <w:tcPr>
            <w:tcW w:w="749" w:type="dxa"/>
            <w:noWrap w:val="0"/>
            <w:vAlign w:val="center"/>
          </w:tcPr>
          <w:p w14:paraId="1A59CA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4D23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8732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F3AA7">
            <w:pPr>
              <w:pageBreakBefore w:val="0"/>
              <w:kinsoku/>
              <w:wordWrap w:val="0"/>
              <w:bidi w:val="0"/>
              <w:spacing w:line="360" w:lineRule="atLeast"/>
              <w:jc w:val="center"/>
              <w:rPr>
                <w:rFonts w:hint="default" w:ascii="Times New Roman" w:hAnsi="Times New Roman" w:cs="Times New Roman"/>
                <w:szCs w:val="21"/>
                <w:highlight w:val="none"/>
              </w:rPr>
            </w:pPr>
          </w:p>
        </w:tc>
      </w:tr>
      <w:tr w14:paraId="077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DBCA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732" w:type="dxa"/>
            <w:noWrap w:val="0"/>
            <w:vAlign w:val="center"/>
          </w:tcPr>
          <w:p w14:paraId="79C9D20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薄壁筒型沉管灌注桩</w:t>
            </w:r>
          </w:p>
        </w:tc>
        <w:tc>
          <w:tcPr>
            <w:tcW w:w="749" w:type="dxa"/>
            <w:noWrap w:val="0"/>
            <w:vAlign w:val="center"/>
          </w:tcPr>
          <w:p w14:paraId="6DDFE3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0C709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6BF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1E4077">
            <w:pPr>
              <w:pageBreakBefore w:val="0"/>
              <w:kinsoku/>
              <w:wordWrap w:val="0"/>
              <w:bidi w:val="0"/>
              <w:spacing w:line="360" w:lineRule="atLeast"/>
              <w:jc w:val="center"/>
              <w:rPr>
                <w:rFonts w:hint="default" w:ascii="Times New Roman" w:hAnsi="Times New Roman" w:cs="Times New Roman"/>
                <w:szCs w:val="21"/>
                <w:highlight w:val="none"/>
              </w:rPr>
            </w:pPr>
          </w:p>
        </w:tc>
      </w:tr>
      <w:tr w14:paraId="3F20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02F4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4732" w:type="dxa"/>
            <w:noWrap w:val="0"/>
            <w:vAlign w:val="center"/>
          </w:tcPr>
          <w:p w14:paraId="47071A2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静压管桩</w:t>
            </w:r>
          </w:p>
        </w:tc>
        <w:tc>
          <w:tcPr>
            <w:tcW w:w="749" w:type="dxa"/>
            <w:noWrap w:val="0"/>
            <w:vAlign w:val="center"/>
          </w:tcPr>
          <w:p w14:paraId="7AD63F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DE0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2372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7481F">
            <w:pPr>
              <w:pageBreakBefore w:val="0"/>
              <w:kinsoku/>
              <w:wordWrap w:val="0"/>
              <w:bidi w:val="0"/>
              <w:spacing w:line="360" w:lineRule="atLeast"/>
              <w:jc w:val="center"/>
              <w:rPr>
                <w:rFonts w:hint="default" w:ascii="Times New Roman" w:hAnsi="Times New Roman" w:cs="Times New Roman"/>
                <w:szCs w:val="21"/>
                <w:highlight w:val="none"/>
              </w:rPr>
            </w:pPr>
          </w:p>
        </w:tc>
      </w:tr>
      <w:tr w14:paraId="3F2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D90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w:t>
            </w:r>
          </w:p>
        </w:tc>
        <w:tc>
          <w:tcPr>
            <w:tcW w:w="4732" w:type="dxa"/>
            <w:noWrap w:val="0"/>
            <w:vAlign w:val="center"/>
          </w:tcPr>
          <w:p w14:paraId="0FC745C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54FF33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A3E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BA47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A90CB3">
            <w:pPr>
              <w:pageBreakBefore w:val="0"/>
              <w:kinsoku/>
              <w:wordWrap w:val="0"/>
              <w:bidi w:val="0"/>
              <w:spacing w:line="360" w:lineRule="atLeast"/>
              <w:jc w:val="center"/>
              <w:rPr>
                <w:rFonts w:hint="default" w:ascii="Times New Roman" w:hAnsi="Times New Roman" w:cs="Times New Roman"/>
                <w:szCs w:val="21"/>
                <w:highlight w:val="none"/>
              </w:rPr>
            </w:pPr>
          </w:p>
        </w:tc>
      </w:tr>
      <w:tr w14:paraId="1E6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59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-n-1</w:t>
            </w:r>
          </w:p>
        </w:tc>
        <w:tc>
          <w:tcPr>
            <w:tcW w:w="4732" w:type="dxa"/>
            <w:noWrap w:val="0"/>
            <w:vAlign w:val="center"/>
          </w:tcPr>
          <w:p w14:paraId="7F55C01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71C146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28D43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170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022671">
            <w:pPr>
              <w:pageBreakBefore w:val="0"/>
              <w:kinsoku/>
              <w:wordWrap w:val="0"/>
              <w:bidi w:val="0"/>
              <w:spacing w:line="360" w:lineRule="atLeast"/>
              <w:jc w:val="center"/>
              <w:rPr>
                <w:rFonts w:hint="default" w:ascii="Times New Roman" w:hAnsi="Times New Roman" w:cs="Times New Roman"/>
                <w:szCs w:val="21"/>
                <w:highlight w:val="none"/>
              </w:rPr>
            </w:pPr>
          </w:p>
        </w:tc>
      </w:tr>
      <w:tr w14:paraId="118F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F580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-n-2</w:t>
            </w:r>
          </w:p>
        </w:tc>
        <w:tc>
          <w:tcPr>
            <w:tcW w:w="4732" w:type="dxa"/>
            <w:noWrap w:val="0"/>
            <w:vAlign w:val="center"/>
          </w:tcPr>
          <w:p w14:paraId="43A55A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A8FE0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8C8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163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CCBB9">
            <w:pPr>
              <w:pageBreakBefore w:val="0"/>
              <w:kinsoku/>
              <w:wordWrap w:val="0"/>
              <w:bidi w:val="0"/>
              <w:spacing w:line="360" w:lineRule="atLeast"/>
              <w:jc w:val="center"/>
              <w:rPr>
                <w:rFonts w:hint="default" w:ascii="Times New Roman" w:hAnsi="Times New Roman" w:cs="Times New Roman"/>
                <w:szCs w:val="21"/>
                <w:highlight w:val="none"/>
              </w:rPr>
            </w:pPr>
          </w:p>
        </w:tc>
      </w:tr>
      <w:tr w14:paraId="01D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0D388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205-2</w:t>
            </w:r>
          </w:p>
        </w:tc>
        <w:tc>
          <w:tcPr>
            <w:tcW w:w="4732" w:type="dxa"/>
            <w:noWrap w:val="0"/>
            <w:vAlign w:val="center"/>
          </w:tcPr>
          <w:p w14:paraId="6C93CF0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红黏土及膨胀土路基处理</w:t>
            </w:r>
          </w:p>
        </w:tc>
        <w:tc>
          <w:tcPr>
            <w:tcW w:w="749" w:type="dxa"/>
            <w:noWrap w:val="0"/>
            <w:vAlign w:val="center"/>
          </w:tcPr>
          <w:p w14:paraId="6DE6E91F">
            <w:pPr>
              <w:pageBreakBefore w:val="0"/>
              <w:widowControl/>
              <w:kinsoku/>
              <w:wordWrap w:val="0"/>
              <w:bidi w:val="0"/>
              <w:spacing w:line="360" w:lineRule="atLeast"/>
              <w:rPr>
                <w:rFonts w:hint="default" w:ascii="Times New Roman" w:hAnsi="Times New Roman" w:cs="Times New Roman"/>
                <w:bCs/>
                <w:kern w:val="0"/>
                <w:szCs w:val="21"/>
                <w:highlight w:val="none"/>
              </w:rPr>
            </w:pPr>
          </w:p>
        </w:tc>
        <w:tc>
          <w:tcPr>
            <w:tcW w:w="837" w:type="dxa"/>
            <w:noWrap w:val="0"/>
            <w:vAlign w:val="center"/>
          </w:tcPr>
          <w:p w14:paraId="567EFD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EC33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2FB7B2">
            <w:pPr>
              <w:pageBreakBefore w:val="0"/>
              <w:kinsoku/>
              <w:wordWrap w:val="0"/>
              <w:bidi w:val="0"/>
              <w:spacing w:line="360" w:lineRule="atLeast"/>
              <w:jc w:val="center"/>
              <w:rPr>
                <w:rFonts w:hint="default" w:ascii="Times New Roman" w:hAnsi="Times New Roman" w:cs="Times New Roman"/>
                <w:szCs w:val="21"/>
                <w:highlight w:val="none"/>
              </w:rPr>
            </w:pPr>
          </w:p>
        </w:tc>
      </w:tr>
      <w:tr w14:paraId="4C6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2149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69BFE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1FC7B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EE1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D761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DAA7F">
            <w:pPr>
              <w:pageBreakBefore w:val="0"/>
              <w:kinsoku/>
              <w:wordWrap w:val="0"/>
              <w:bidi w:val="0"/>
              <w:spacing w:line="360" w:lineRule="atLeast"/>
              <w:jc w:val="center"/>
              <w:rPr>
                <w:rFonts w:hint="default" w:ascii="Times New Roman" w:hAnsi="Times New Roman" w:cs="Times New Roman"/>
                <w:szCs w:val="21"/>
                <w:highlight w:val="none"/>
              </w:rPr>
            </w:pPr>
          </w:p>
        </w:tc>
      </w:tr>
      <w:tr w14:paraId="39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5986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AE7D3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水泥改良土</w:t>
            </w:r>
          </w:p>
        </w:tc>
        <w:tc>
          <w:tcPr>
            <w:tcW w:w="749" w:type="dxa"/>
            <w:noWrap w:val="0"/>
            <w:vAlign w:val="center"/>
          </w:tcPr>
          <w:p w14:paraId="459D6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68F1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F5E4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A90C63">
            <w:pPr>
              <w:pageBreakBefore w:val="0"/>
              <w:kinsoku/>
              <w:wordWrap w:val="0"/>
              <w:bidi w:val="0"/>
              <w:spacing w:line="360" w:lineRule="atLeast"/>
              <w:jc w:val="center"/>
              <w:rPr>
                <w:rFonts w:hint="default" w:ascii="Times New Roman" w:hAnsi="Times New Roman" w:cs="Times New Roman"/>
                <w:szCs w:val="21"/>
                <w:highlight w:val="none"/>
              </w:rPr>
            </w:pPr>
          </w:p>
        </w:tc>
      </w:tr>
      <w:tr w14:paraId="496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5C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205-3</w:t>
            </w:r>
          </w:p>
        </w:tc>
        <w:tc>
          <w:tcPr>
            <w:tcW w:w="4732" w:type="dxa"/>
            <w:noWrap w:val="0"/>
            <w:vAlign w:val="center"/>
          </w:tcPr>
          <w:p w14:paraId="2A0992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滑坡处理</w:t>
            </w:r>
          </w:p>
        </w:tc>
        <w:tc>
          <w:tcPr>
            <w:tcW w:w="749" w:type="dxa"/>
            <w:noWrap w:val="0"/>
            <w:vAlign w:val="center"/>
          </w:tcPr>
          <w:p w14:paraId="2B57843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61345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79C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C52EA">
            <w:pPr>
              <w:pageBreakBefore w:val="0"/>
              <w:kinsoku/>
              <w:wordWrap w:val="0"/>
              <w:bidi w:val="0"/>
              <w:spacing w:line="360" w:lineRule="atLeast"/>
              <w:jc w:val="center"/>
              <w:rPr>
                <w:rFonts w:hint="default" w:ascii="Times New Roman" w:hAnsi="Times New Roman" w:cs="Times New Roman"/>
                <w:szCs w:val="21"/>
                <w:highlight w:val="none"/>
              </w:rPr>
            </w:pPr>
          </w:p>
        </w:tc>
      </w:tr>
      <w:tr w14:paraId="5B8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47E4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3E261F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清除滑坡体</w:t>
            </w:r>
          </w:p>
        </w:tc>
        <w:tc>
          <w:tcPr>
            <w:tcW w:w="749" w:type="dxa"/>
            <w:noWrap w:val="0"/>
            <w:vAlign w:val="center"/>
          </w:tcPr>
          <w:p w14:paraId="2A2CFB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FA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1B0C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BFEF77">
            <w:pPr>
              <w:pageBreakBefore w:val="0"/>
              <w:kinsoku/>
              <w:wordWrap w:val="0"/>
              <w:bidi w:val="0"/>
              <w:spacing w:line="360" w:lineRule="atLeast"/>
              <w:jc w:val="center"/>
              <w:rPr>
                <w:rFonts w:hint="default" w:ascii="Times New Roman" w:hAnsi="Times New Roman" w:cs="Times New Roman"/>
                <w:szCs w:val="21"/>
                <w:highlight w:val="none"/>
              </w:rPr>
            </w:pPr>
          </w:p>
        </w:tc>
      </w:tr>
      <w:tr w14:paraId="527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6EE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205-4</w:t>
            </w:r>
          </w:p>
        </w:tc>
        <w:tc>
          <w:tcPr>
            <w:tcW w:w="4732" w:type="dxa"/>
            <w:noWrap w:val="0"/>
            <w:vAlign w:val="center"/>
          </w:tcPr>
          <w:p w14:paraId="3C5237E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岩溶洞处理</w:t>
            </w:r>
          </w:p>
        </w:tc>
        <w:tc>
          <w:tcPr>
            <w:tcW w:w="749" w:type="dxa"/>
            <w:noWrap w:val="0"/>
            <w:vAlign w:val="center"/>
          </w:tcPr>
          <w:p w14:paraId="093A3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F276E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9A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BF38F">
            <w:pPr>
              <w:pageBreakBefore w:val="0"/>
              <w:kinsoku/>
              <w:wordWrap w:val="0"/>
              <w:bidi w:val="0"/>
              <w:spacing w:line="360" w:lineRule="atLeast"/>
              <w:jc w:val="center"/>
              <w:rPr>
                <w:rFonts w:hint="default" w:ascii="Times New Roman" w:hAnsi="Times New Roman" w:cs="Times New Roman"/>
                <w:szCs w:val="21"/>
                <w:highlight w:val="none"/>
              </w:rPr>
            </w:pPr>
          </w:p>
        </w:tc>
      </w:tr>
      <w:tr w14:paraId="7CA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869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F8EB16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回填</w:t>
            </w:r>
          </w:p>
        </w:tc>
        <w:tc>
          <w:tcPr>
            <w:tcW w:w="749" w:type="dxa"/>
            <w:noWrap w:val="0"/>
            <w:vAlign w:val="center"/>
          </w:tcPr>
          <w:p w14:paraId="24841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78B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267E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2498B">
            <w:pPr>
              <w:pageBreakBefore w:val="0"/>
              <w:kinsoku/>
              <w:wordWrap w:val="0"/>
              <w:bidi w:val="0"/>
              <w:spacing w:line="360" w:lineRule="atLeast"/>
              <w:jc w:val="center"/>
              <w:rPr>
                <w:rFonts w:hint="default" w:ascii="Times New Roman" w:hAnsi="Times New Roman" w:cs="Times New Roman"/>
                <w:szCs w:val="21"/>
                <w:highlight w:val="none"/>
              </w:rPr>
            </w:pPr>
          </w:p>
        </w:tc>
      </w:tr>
      <w:tr w14:paraId="09F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8BE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205-5</w:t>
            </w:r>
          </w:p>
        </w:tc>
        <w:tc>
          <w:tcPr>
            <w:tcW w:w="4732" w:type="dxa"/>
            <w:noWrap w:val="0"/>
            <w:vAlign w:val="center"/>
          </w:tcPr>
          <w:p w14:paraId="3DC1AE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湿陷性黄土路基处理</w:t>
            </w:r>
          </w:p>
        </w:tc>
        <w:tc>
          <w:tcPr>
            <w:tcW w:w="749" w:type="dxa"/>
            <w:noWrap w:val="0"/>
            <w:vAlign w:val="center"/>
          </w:tcPr>
          <w:p w14:paraId="32C5E0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9E18D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2411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2C1AB5">
            <w:pPr>
              <w:pageBreakBefore w:val="0"/>
              <w:kinsoku/>
              <w:wordWrap w:val="0"/>
              <w:bidi w:val="0"/>
              <w:spacing w:line="360" w:lineRule="atLeast"/>
              <w:jc w:val="center"/>
              <w:rPr>
                <w:rFonts w:hint="default" w:ascii="Times New Roman" w:hAnsi="Times New Roman" w:cs="Times New Roman"/>
                <w:szCs w:val="21"/>
                <w:highlight w:val="none"/>
              </w:rPr>
            </w:pPr>
          </w:p>
        </w:tc>
      </w:tr>
      <w:tr w14:paraId="53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6C4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059E2B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陷穴处理</w:t>
            </w:r>
          </w:p>
        </w:tc>
        <w:tc>
          <w:tcPr>
            <w:tcW w:w="749" w:type="dxa"/>
            <w:noWrap w:val="0"/>
            <w:vAlign w:val="center"/>
          </w:tcPr>
          <w:p w14:paraId="2E44537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A3595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8C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EEE9F8">
            <w:pPr>
              <w:pageBreakBefore w:val="0"/>
              <w:kinsoku/>
              <w:wordWrap w:val="0"/>
              <w:bidi w:val="0"/>
              <w:spacing w:line="360" w:lineRule="atLeast"/>
              <w:jc w:val="center"/>
              <w:rPr>
                <w:rFonts w:hint="default" w:ascii="Times New Roman" w:hAnsi="Times New Roman" w:cs="Times New Roman"/>
                <w:szCs w:val="21"/>
                <w:highlight w:val="none"/>
              </w:rPr>
            </w:pPr>
          </w:p>
        </w:tc>
      </w:tr>
      <w:tr w14:paraId="517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1568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453C67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灌砂</w:t>
            </w:r>
          </w:p>
        </w:tc>
        <w:tc>
          <w:tcPr>
            <w:tcW w:w="749" w:type="dxa"/>
            <w:noWrap w:val="0"/>
            <w:vAlign w:val="center"/>
          </w:tcPr>
          <w:p w14:paraId="07A5BC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75C01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6C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52F97">
            <w:pPr>
              <w:pageBreakBefore w:val="0"/>
              <w:kinsoku/>
              <w:wordWrap w:val="0"/>
              <w:bidi w:val="0"/>
              <w:spacing w:line="360" w:lineRule="atLeast"/>
              <w:jc w:val="center"/>
              <w:rPr>
                <w:rFonts w:hint="default" w:ascii="Times New Roman" w:hAnsi="Times New Roman" w:cs="Times New Roman"/>
                <w:szCs w:val="21"/>
                <w:highlight w:val="none"/>
              </w:rPr>
            </w:pPr>
          </w:p>
        </w:tc>
      </w:tr>
      <w:tr w14:paraId="597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AEBA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2921966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灌水泥砂浆</w:t>
            </w:r>
          </w:p>
        </w:tc>
        <w:tc>
          <w:tcPr>
            <w:tcW w:w="749" w:type="dxa"/>
            <w:noWrap w:val="0"/>
            <w:vAlign w:val="center"/>
          </w:tcPr>
          <w:p w14:paraId="386224F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EC408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B07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8DA2A4">
            <w:pPr>
              <w:pageBreakBefore w:val="0"/>
              <w:kinsoku/>
              <w:wordWrap w:val="0"/>
              <w:bidi w:val="0"/>
              <w:spacing w:line="360" w:lineRule="atLeast"/>
              <w:jc w:val="center"/>
              <w:rPr>
                <w:rFonts w:hint="default" w:ascii="Times New Roman" w:hAnsi="Times New Roman" w:cs="Times New Roman"/>
                <w:szCs w:val="21"/>
                <w:highlight w:val="none"/>
              </w:rPr>
            </w:pPr>
          </w:p>
        </w:tc>
      </w:tr>
      <w:tr w14:paraId="607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81F0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C58756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C1F4D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FB50E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B02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74A97">
            <w:pPr>
              <w:pageBreakBefore w:val="0"/>
              <w:kinsoku/>
              <w:wordWrap w:val="0"/>
              <w:bidi w:val="0"/>
              <w:spacing w:line="360" w:lineRule="atLeast"/>
              <w:jc w:val="center"/>
              <w:rPr>
                <w:rFonts w:hint="default" w:ascii="Times New Roman" w:hAnsi="Times New Roman" w:cs="Times New Roman"/>
                <w:szCs w:val="21"/>
                <w:highlight w:val="none"/>
              </w:rPr>
            </w:pPr>
          </w:p>
        </w:tc>
      </w:tr>
      <w:tr w14:paraId="02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2B556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403EBB8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59957B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3B5D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D3C5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714552">
            <w:pPr>
              <w:pageBreakBefore w:val="0"/>
              <w:kinsoku/>
              <w:wordWrap w:val="0"/>
              <w:bidi w:val="0"/>
              <w:spacing w:line="360" w:lineRule="atLeast"/>
              <w:jc w:val="center"/>
              <w:rPr>
                <w:rFonts w:hint="default" w:ascii="Times New Roman" w:hAnsi="Times New Roman" w:cs="Times New Roman"/>
                <w:szCs w:val="21"/>
                <w:highlight w:val="none"/>
              </w:rPr>
            </w:pPr>
          </w:p>
        </w:tc>
      </w:tr>
      <w:tr w14:paraId="5BC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AB6C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005AFE3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74858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5745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1F5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4B8469">
            <w:pPr>
              <w:pageBreakBefore w:val="0"/>
              <w:kinsoku/>
              <w:wordWrap w:val="0"/>
              <w:bidi w:val="0"/>
              <w:spacing w:line="360" w:lineRule="atLeast"/>
              <w:jc w:val="center"/>
              <w:rPr>
                <w:rFonts w:hint="default" w:ascii="Times New Roman" w:hAnsi="Times New Roman" w:cs="Times New Roman"/>
                <w:szCs w:val="21"/>
                <w:highlight w:val="none"/>
              </w:rPr>
            </w:pPr>
          </w:p>
        </w:tc>
      </w:tr>
      <w:tr w14:paraId="46C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D72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84A6A3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564027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87C4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0101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9EA04B">
            <w:pPr>
              <w:pageBreakBefore w:val="0"/>
              <w:kinsoku/>
              <w:wordWrap w:val="0"/>
              <w:bidi w:val="0"/>
              <w:spacing w:line="360" w:lineRule="atLeast"/>
              <w:jc w:val="center"/>
              <w:rPr>
                <w:rFonts w:hint="default" w:ascii="Times New Roman" w:hAnsi="Times New Roman" w:cs="Times New Roman"/>
                <w:szCs w:val="21"/>
                <w:highlight w:val="none"/>
              </w:rPr>
            </w:pPr>
          </w:p>
        </w:tc>
      </w:tr>
      <w:tr w14:paraId="210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8E22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B58C0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灰土桩</w:t>
            </w:r>
          </w:p>
        </w:tc>
        <w:tc>
          <w:tcPr>
            <w:tcW w:w="749" w:type="dxa"/>
            <w:noWrap w:val="0"/>
            <w:vAlign w:val="center"/>
          </w:tcPr>
          <w:p w14:paraId="77D8D7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4E23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40D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4F8F82">
            <w:pPr>
              <w:pageBreakBefore w:val="0"/>
              <w:kinsoku/>
              <w:wordWrap w:val="0"/>
              <w:bidi w:val="0"/>
              <w:spacing w:line="360" w:lineRule="atLeast"/>
              <w:jc w:val="center"/>
              <w:rPr>
                <w:rFonts w:hint="default" w:ascii="Times New Roman" w:hAnsi="Times New Roman" w:cs="Times New Roman"/>
                <w:szCs w:val="21"/>
                <w:highlight w:val="none"/>
              </w:rPr>
            </w:pPr>
          </w:p>
        </w:tc>
      </w:tr>
      <w:tr w14:paraId="715F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5529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205-6</w:t>
            </w:r>
          </w:p>
        </w:tc>
        <w:tc>
          <w:tcPr>
            <w:tcW w:w="4732" w:type="dxa"/>
            <w:noWrap w:val="0"/>
            <w:vAlign w:val="center"/>
          </w:tcPr>
          <w:p w14:paraId="4F8A8483">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盐渍土路基处理</w:t>
            </w:r>
          </w:p>
        </w:tc>
        <w:tc>
          <w:tcPr>
            <w:tcW w:w="749" w:type="dxa"/>
            <w:noWrap w:val="0"/>
            <w:vAlign w:val="center"/>
          </w:tcPr>
          <w:p w14:paraId="10FAB9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272FD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9E1D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A7DF2C">
            <w:pPr>
              <w:pageBreakBefore w:val="0"/>
              <w:kinsoku/>
              <w:wordWrap w:val="0"/>
              <w:bidi w:val="0"/>
              <w:spacing w:line="360" w:lineRule="atLeast"/>
              <w:jc w:val="center"/>
              <w:rPr>
                <w:rFonts w:hint="default" w:ascii="Times New Roman" w:hAnsi="Times New Roman" w:cs="Times New Roman"/>
                <w:szCs w:val="21"/>
                <w:highlight w:val="none"/>
              </w:rPr>
            </w:pPr>
          </w:p>
        </w:tc>
      </w:tr>
      <w:tr w14:paraId="031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7EAC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823993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7EA11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2142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8AF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9A2D9B">
            <w:pPr>
              <w:pageBreakBefore w:val="0"/>
              <w:kinsoku/>
              <w:wordWrap w:val="0"/>
              <w:bidi w:val="0"/>
              <w:spacing w:line="360" w:lineRule="atLeast"/>
              <w:jc w:val="center"/>
              <w:rPr>
                <w:rFonts w:hint="default" w:ascii="Times New Roman" w:hAnsi="Times New Roman" w:cs="Times New Roman"/>
                <w:szCs w:val="21"/>
                <w:highlight w:val="none"/>
              </w:rPr>
            </w:pPr>
          </w:p>
        </w:tc>
      </w:tr>
      <w:tr w14:paraId="73C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651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892C0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砂垫层</w:t>
            </w:r>
          </w:p>
        </w:tc>
        <w:tc>
          <w:tcPr>
            <w:tcW w:w="749" w:type="dxa"/>
            <w:noWrap w:val="0"/>
            <w:vAlign w:val="center"/>
          </w:tcPr>
          <w:p w14:paraId="795E9B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9F42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B01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0794FB">
            <w:pPr>
              <w:pageBreakBefore w:val="0"/>
              <w:kinsoku/>
              <w:wordWrap w:val="0"/>
              <w:bidi w:val="0"/>
              <w:spacing w:line="360" w:lineRule="atLeast"/>
              <w:jc w:val="center"/>
              <w:rPr>
                <w:rFonts w:hint="default" w:ascii="Times New Roman" w:hAnsi="Times New Roman" w:cs="Times New Roman"/>
                <w:szCs w:val="21"/>
                <w:highlight w:val="none"/>
              </w:rPr>
            </w:pPr>
          </w:p>
        </w:tc>
      </w:tr>
      <w:tr w14:paraId="2AD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38E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1856EFF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砂砾垫层</w:t>
            </w:r>
          </w:p>
        </w:tc>
        <w:tc>
          <w:tcPr>
            <w:tcW w:w="749" w:type="dxa"/>
            <w:noWrap w:val="0"/>
            <w:vAlign w:val="center"/>
          </w:tcPr>
          <w:p w14:paraId="4C4BD4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7D7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48D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0FE28B">
            <w:pPr>
              <w:pageBreakBefore w:val="0"/>
              <w:kinsoku/>
              <w:wordWrap w:val="0"/>
              <w:bidi w:val="0"/>
              <w:spacing w:line="360" w:lineRule="atLeast"/>
              <w:jc w:val="center"/>
              <w:rPr>
                <w:rFonts w:hint="default" w:ascii="Times New Roman" w:hAnsi="Times New Roman" w:cs="Times New Roman"/>
                <w:szCs w:val="21"/>
                <w:highlight w:val="none"/>
              </w:rPr>
            </w:pPr>
          </w:p>
        </w:tc>
      </w:tr>
      <w:tr w14:paraId="33C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DC00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0E959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6A8D98C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27BD8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749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62B655">
            <w:pPr>
              <w:pageBreakBefore w:val="0"/>
              <w:kinsoku/>
              <w:wordWrap w:val="0"/>
              <w:bidi w:val="0"/>
              <w:spacing w:line="360" w:lineRule="atLeast"/>
              <w:jc w:val="center"/>
              <w:rPr>
                <w:rFonts w:hint="default" w:ascii="Times New Roman" w:hAnsi="Times New Roman" w:cs="Times New Roman"/>
                <w:szCs w:val="21"/>
                <w:highlight w:val="none"/>
              </w:rPr>
            </w:pPr>
          </w:p>
        </w:tc>
      </w:tr>
      <w:tr w14:paraId="42D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DCEC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5BD4D6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防渗土工膜</w:t>
            </w:r>
          </w:p>
        </w:tc>
        <w:tc>
          <w:tcPr>
            <w:tcW w:w="749" w:type="dxa"/>
            <w:noWrap w:val="0"/>
            <w:vAlign w:val="center"/>
          </w:tcPr>
          <w:p w14:paraId="360686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49A79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6BB4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AFA71">
            <w:pPr>
              <w:pageBreakBefore w:val="0"/>
              <w:kinsoku/>
              <w:wordWrap w:val="0"/>
              <w:bidi w:val="0"/>
              <w:spacing w:line="360" w:lineRule="atLeast"/>
              <w:jc w:val="center"/>
              <w:rPr>
                <w:rFonts w:hint="default" w:ascii="Times New Roman" w:hAnsi="Times New Roman" w:cs="Times New Roman"/>
                <w:szCs w:val="21"/>
                <w:highlight w:val="none"/>
              </w:rPr>
            </w:pPr>
          </w:p>
        </w:tc>
      </w:tr>
      <w:tr w14:paraId="700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19AF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52C70B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83F7F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E065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3D8A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595DFD">
            <w:pPr>
              <w:pageBreakBefore w:val="0"/>
              <w:kinsoku/>
              <w:wordWrap w:val="0"/>
              <w:bidi w:val="0"/>
              <w:spacing w:line="360" w:lineRule="atLeast"/>
              <w:jc w:val="center"/>
              <w:rPr>
                <w:rFonts w:hint="default" w:ascii="Times New Roman" w:hAnsi="Times New Roman" w:cs="Times New Roman"/>
                <w:szCs w:val="21"/>
                <w:highlight w:val="none"/>
              </w:rPr>
            </w:pPr>
          </w:p>
        </w:tc>
      </w:tr>
      <w:tr w14:paraId="632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EFE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205-7</w:t>
            </w:r>
          </w:p>
        </w:tc>
        <w:tc>
          <w:tcPr>
            <w:tcW w:w="4732" w:type="dxa"/>
            <w:noWrap w:val="0"/>
            <w:vAlign w:val="center"/>
          </w:tcPr>
          <w:p w14:paraId="7246553F">
            <w:pPr>
              <w:pageBreakBefore w:val="0"/>
              <w:tabs>
                <w:tab w:val="left" w:pos="1065"/>
              </w:tabs>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风积沙路基处理</w:t>
            </w:r>
          </w:p>
        </w:tc>
        <w:tc>
          <w:tcPr>
            <w:tcW w:w="749" w:type="dxa"/>
            <w:noWrap w:val="0"/>
            <w:vAlign w:val="center"/>
          </w:tcPr>
          <w:p w14:paraId="71EA38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EFDF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78F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2B0965">
            <w:pPr>
              <w:pageBreakBefore w:val="0"/>
              <w:kinsoku/>
              <w:wordWrap w:val="0"/>
              <w:bidi w:val="0"/>
              <w:spacing w:line="360" w:lineRule="atLeast"/>
              <w:jc w:val="center"/>
              <w:rPr>
                <w:rFonts w:hint="default" w:ascii="Times New Roman" w:hAnsi="Times New Roman" w:cs="Times New Roman"/>
                <w:szCs w:val="21"/>
                <w:highlight w:val="none"/>
              </w:rPr>
            </w:pPr>
          </w:p>
        </w:tc>
      </w:tr>
      <w:tr w14:paraId="6EF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F73E7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AD43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79D02A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1BFB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ACCC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EEFA2D">
            <w:pPr>
              <w:pageBreakBefore w:val="0"/>
              <w:kinsoku/>
              <w:wordWrap w:val="0"/>
              <w:bidi w:val="0"/>
              <w:spacing w:line="360" w:lineRule="atLeast"/>
              <w:jc w:val="center"/>
              <w:rPr>
                <w:rFonts w:hint="default" w:ascii="Times New Roman" w:hAnsi="Times New Roman" w:cs="Times New Roman"/>
                <w:szCs w:val="21"/>
                <w:highlight w:val="none"/>
              </w:rPr>
            </w:pPr>
          </w:p>
        </w:tc>
      </w:tr>
      <w:tr w14:paraId="5F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47B9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41453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453AF09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44219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314A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340B0A">
            <w:pPr>
              <w:pageBreakBefore w:val="0"/>
              <w:kinsoku/>
              <w:wordWrap w:val="0"/>
              <w:bidi w:val="0"/>
              <w:spacing w:line="360" w:lineRule="atLeast"/>
              <w:jc w:val="center"/>
              <w:rPr>
                <w:rFonts w:hint="default" w:ascii="Times New Roman" w:hAnsi="Times New Roman" w:cs="Times New Roman"/>
                <w:szCs w:val="21"/>
                <w:highlight w:val="none"/>
              </w:rPr>
            </w:pPr>
          </w:p>
        </w:tc>
      </w:tr>
      <w:tr w14:paraId="63A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4DF4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71EB5E1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土工格室</w:t>
            </w:r>
          </w:p>
        </w:tc>
        <w:tc>
          <w:tcPr>
            <w:tcW w:w="749" w:type="dxa"/>
            <w:noWrap w:val="0"/>
            <w:vAlign w:val="center"/>
          </w:tcPr>
          <w:p w14:paraId="017B4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D025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49C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B438B">
            <w:pPr>
              <w:pageBreakBefore w:val="0"/>
              <w:kinsoku/>
              <w:wordWrap w:val="0"/>
              <w:bidi w:val="0"/>
              <w:spacing w:line="360" w:lineRule="atLeast"/>
              <w:jc w:val="center"/>
              <w:rPr>
                <w:rFonts w:hint="default" w:ascii="Times New Roman" w:hAnsi="Times New Roman" w:cs="Times New Roman"/>
                <w:szCs w:val="21"/>
                <w:highlight w:val="none"/>
              </w:rPr>
            </w:pPr>
          </w:p>
        </w:tc>
      </w:tr>
      <w:tr w14:paraId="59D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6731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64D9E4E2">
            <w:pPr>
              <w:pageBreakBefore w:val="0"/>
              <w:tabs>
                <w:tab w:val="left" w:pos="1065"/>
              </w:tabs>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蜂窝式塑料网</w:t>
            </w:r>
          </w:p>
        </w:tc>
        <w:tc>
          <w:tcPr>
            <w:tcW w:w="749" w:type="dxa"/>
            <w:noWrap w:val="0"/>
            <w:vAlign w:val="center"/>
          </w:tcPr>
          <w:p w14:paraId="686761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FA2BA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54A9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2502F2">
            <w:pPr>
              <w:pageBreakBefore w:val="0"/>
              <w:kinsoku/>
              <w:wordWrap w:val="0"/>
              <w:bidi w:val="0"/>
              <w:spacing w:line="360" w:lineRule="atLeast"/>
              <w:jc w:val="center"/>
              <w:rPr>
                <w:rFonts w:hint="default" w:ascii="Times New Roman" w:hAnsi="Times New Roman" w:cs="Times New Roman"/>
                <w:szCs w:val="21"/>
                <w:highlight w:val="none"/>
              </w:rPr>
            </w:pPr>
          </w:p>
        </w:tc>
      </w:tr>
      <w:tr w14:paraId="3D8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18CEE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205-8</w:t>
            </w:r>
          </w:p>
        </w:tc>
        <w:tc>
          <w:tcPr>
            <w:tcW w:w="4732" w:type="dxa"/>
            <w:noWrap w:val="0"/>
            <w:vAlign w:val="center"/>
          </w:tcPr>
          <w:p w14:paraId="1D84B0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冻土路基处理</w:t>
            </w:r>
          </w:p>
        </w:tc>
        <w:tc>
          <w:tcPr>
            <w:tcW w:w="749" w:type="dxa"/>
            <w:noWrap w:val="0"/>
            <w:vAlign w:val="center"/>
          </w:tcPr>
          <w:p w14:paraId="18E065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AA61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02EF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D778B">
            <w:pPr>
              <w:pageBreakBefore w:val="0"/>
              <w:kinsoku/>
              <w:wordWrap w:val="0"/>
              <w:bidi w:val="0"/>
              <w:spacing w:line="360" w:lineRule="atLeast"/>
              <w:jc w:val="center"/>
              <w:rPr>
                <w:rFonts w:hint="default" w:ascii="Times New Roman" w:hAnsi="Times New Roman" w:cs="Times New Roman"/>
                <w:szCs w:val="21"/>
                <w:highlight w:val="none"/>
              </w:rPr>
            </w:pPr>
          </w:p>
        </w:tc>
      </w:tr>
      <w:tr w14:paraId="19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60F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4AA30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隔热层</w:t>
            </w:r>
          </w:p>
        </w:tc>
        <w:tc>
          <w:tcPr>
            <w:tcW w:w="749" w:type="dxa"/>
            <w:noWrap w:val="0"/>
            <w:vAlign w:val="center"/>
          </w:tcPr>
          <w:p w14:paraId="2AD49B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311A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CFE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1A9070">
            <w:pPr>
              <w:pageBreakBefore w:val="0"/>
              <w:kinsoku/>
              <w:wordWrap w:val="0"/>
              <w:bidi w:val="0"/>
              <w:spacing w:line="360" w:lineRule="atLeast"/>
              <w:jc w:val="center"/>
              <w:rPr>
                <w:rFonts w:hint="default" w:ascii="Times New Roman" w:hAnsi="Times New Roman" w:cs="Times New Roman"/>
                <w:szCs w:val="21"/>
                <w:highlight w:val="none"/>
              </w:rPr>
            </w:pPr>
          </w:p>
        </w:tc>
      </w:tr>
      <w:tr w14:paraId="354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99B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17A746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XPS保温板</w:t>
            </w:r>
          </w:p>
        </w:tc>
        <w:tc>
          <w:tcPr>
            <w:tcW w:w="749" w:type="dxa"/>
            <w:noWrap w:val="0"/>
            <w:vAlign w:val="center"/>
          </w:tcPr>
          <w:p w14:paraId="3EEDEF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09FA1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930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3CA34B">
            <w:pPr>
              <w:pageBreakBefore w:val="0"/>
              <w:kinsoku/>
              <w:wordWrap w:val="0"/>
              <w:bidi w:val="0"/>
              <w:spacing w:line="360" w:lineRule="atLeast"/>
              <w:jc w:val="center"/>
              <w:rPr>
                <w:rFonts w:hint="default" w:ascii="Times New Roman" w:hAnsi="Times New Roman" w:cs="Times New Roman"/>
                <w:szCs w:val="21"/>
                <w:highlight w:val="none"/>
              </w:rPr>
            </w:pPr>
          </w:p>
        </w:tc>
      </w:tr>
      <w:tr w14:paraId="4C6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FEC0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6AC4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通风管</w:t>
            </w:r>
          </w:p>
        </w:tc>
        <w:tc>
          <w:tcPr>
            <w:tcW w:w="749" w:type="dxa"/>
            <w:noWrap w:val="0"/>
            <w:vAlign w:val="center"/>
          </w:tcPr>
          <w:p w14:paraId="699EA5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EA6EB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76BB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5C83DC">
            <w:pPr>
              <w:pageBreakBefore w:val="0"/>
              <w:kinsoku/>
              <w:wordWrap w:val="0"/>
              <w:bidi w:val="0"/>
              <w:spacing w:line="360" w:lineRule="atLeast"/>
              <w:jc w:val="center"/>
              <w:rPr>
                <w:rFonts w:hint="default" w:ascii="Times New Roman" w:hAnsi="Times New Roman" w:cs="Times New Roman"/>
                <w:szCs w:val="21"/>
                <w:highlight w:val="none"/>
              </w:rPr>
            </w:pPr>
          </w:p>
        </w:tc>
      </w:tr>
      <w:tr w14:paraId="07D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2A96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5A63D7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热棒</w:t>
            </w:r>
          </w:p>
        </w:tc>
        <w:tc>
          <w:tcPr>
            <w:tcW w:w="749" w:type="dxa"/>
            <w:noWrap w:val="0"/>
            <w:vAlign w:val="center"/>
          </w:tcPr>
          <w:p w14:paraId="5F6819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根</w:t>
            </w:r>
          </w:p>
        </w:tc>
        <w:tc>
          <w:tcPr>
            <w:tcW w:w="837" w:type="dxa"/>
            <w:noWrap w:val="0"/>
            <w:vAlign w:val="center"/>
          </w:tcPr>
          <w:p w14:paraId="6659BF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2488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57B5C2">
            <w:pPr>
              <w:pageBreakBefore w:val="0"/>
              <w:kinsoku/>
              <w:wordWrap w:val="0"/>
              <w:bidi w:val="0"/>
              <w:spacing w:line="360" w:lineRule="atLeast"/>
              <w:jc w:val="center"/>
              <w:rPr>
                <w:rFonts w:hint="default" w:ascii="Times New Roman" w:hAnsi="Times New Roman" w:cs="Times New Roman"/>
                <w:szCs w:val="21"/>
                <w:highlight w:val="none"/>
              </w:rPr>
            </w:pPr>
          </w:p>
        </w:tc>
      </w:tr>
      <w:tr w14:paraId="54A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E94BB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207</w:t>
            </w:r>
          </w:p>
        </w:tc>
        <w:tc>
          <w:tcPr>
            <w:tcW w:w="4732" w:type="dxa"/>
            <w:noWrap w:val="0"/>
            <w:vAlign w:val="center"/>
          </w:tcPr>
          <w:p w14:paraId="3953158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坡面排水</w:t>
            </w:r>
          </w:p>
        </w:tc>
        <w:tc>
          <w:tcPr>
            <w:tcW w:w="749" w:type="dxa"/>
            <w:noWrap w:val="0"/>
            <w:vAlign w:val="center"/>
          </w:tcPr>
          <w:p w14:paraId="4B2E4CB5">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73323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BD3F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1294">
            <w:pPr>
              <w:pageBreakBefore w:val="0"/>
              <w:kinsoku/>
              <w:wordWrap w:val="0"/>
              <w:bidi w:val="0"/>
              <w:spacing w:line="360" w:lineRule="atLeast"/>
              <w:jc w:val="center"/>
              <w:rPr>
                <w:rFonts w:hint="default" w:ascii="Times New Roman" w:hAnsi="Times New Roman" w:cs="Times New Roman"/>
                <w:szCs w:val="21"/>
                <w:highlight w:val="none"/>
              </w:rPr>
            </w:pPr>
          </w:p>
        </w:tc>
      </w:tr>
      <w:tr w14:paraId="413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257C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w:t>
            </w:r>
          </w:p>
        </w:tc>
        <w:tc>
          <w:tcPr>
            <w:tcW w:w="4732" w:type="dxa"/>
            <w:noWrap w:val="0"/>
            <w:vAlign w:val="center"/>
          </w:tcPr>
          <w:p w14:paraId="0CE24B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w:t>
            </w:r>
          </w:p>
        </w:tc>
        <w:tc>
          <w:tcPr>
            <w:tcW w:w="749" w:type="dxa"/>
            <w:noWrap w:val="0"/>
            <w:vAlign w:val="center"/>
          </w:tcPr>
          <w:p w14:paraId="0AF5F9A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663DA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275C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AD21DE">
            <w:pPr>
              <w:pageBreakBefore w:val="0"/>
              <w:kinsoku/>
              <w:wordWrap w:val="0"/>
              <w:bidi w:val="0"/>
              <w:spacing w:line="360" w:lineRule="atLeast"/>
              <w:jc w:val="center"/>
              <w:rPr>
                <w:rFonts w:hint="default" w:ascii="Times New Roman" w:hAnsi="Times New Roman" w:cs="Times New Roman"/>
                <w:szCs w:val="21"/>
                <w:highlight w:val="none"/>
              </w:rPr>
            </w:pPr>
          </w:p>
        </w:tc>
      </w:tr>
      <w:tr w14:paraId="1D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35A1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3E8EC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5EAA421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0E10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19C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829D29">
            <w:pPr>
              <w:pageBreakBefore w:val="0"/>
              <w:kinsoku/>
              <w:wordWrap w:val="0"/>
              <w:bidi w:val="0"/>
              <w:spacing w:line="360" w:lineRule="atLeast"/>
              <w:jc w:val="center"/>
              <w:rPr>
                <w:rFonts w:hint="default" w:ascii="Times New Roman" w:hAnsi="Times New Roman" w:cs="Times New Roman"/>
                <w:szCs w:val="21"/>
                <w:highlight w:val="none"/>
              </w:rPr>
            </w:pPr>
          </w:p>
        </w:tc>
      </w:tr>
      <w:tr w14:paraId="473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0B53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89F6E3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C3D3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79A70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E3C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404450">
            <w:pPr>
              <w:pageBreakBefore w:val="0"/>
              <w:kinsoku/>
              <w:wordWrap w:val="0"/>
              <w:bidi w:val="0"/>
              <w:spacing w:line="360" w:lineRule="atLeast"/>
              <w:jc w:val="center"/>
              <w:rPr>
                <w:rFonts w:hint="default" w:ascii="Times New Roman" w:hAnsi="Times New Roman" w:cs="Times New Roman"/>
                <w:szCs w:val="21"/>
                <w:highlight w:val="none"/>
              </w:rPr>
            </w:pPr>
          </w:p>
        </w:tc>
      </w:tr>
      <w:tr w14:paraId="34C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AFAB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66C18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630A0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AFE88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B2F3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C43964">
            <w:pPr>
              <w:pageBreakBefore w:val="0"/>
              <w:kinsoku/>
              <w:wordWrap w:val="0"/>
              <w:bidi w:val="0"/>
              <w:spacing w:line="360" w:lineRule="atLeast"/>
              <w:jc w:val="center"/>
              <w:rPr>
                <w:rFonts w:hint="default" w:ascii="Times New Roman" w:hAnsi="Times New Roman" w:cs="Times New Roman"/>
                <w:szCs w:val="21"/>
                <w:highlight w:val="none"/>
              </w:rPr>
            </w:pPr>
          </w:p>
        </w:tc>
      </w:tr>
      <w:tr w14:paraId="61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CB08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D86526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5CD89C6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86B1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ABAB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FBBC0C">
            <w:pPr>
              <w:pageBreakBefore w:val="0"/>
              <w:kinsoku/>
              <w:wordWrap w:val="0"/>
              <w:bidi w:val="0"/>
              <w:spacing w:line="360" w:lineRule="atLeast"/>
              <w:jc w:val="center"/>
              <w:rPr>
                <w:rFonts w:hint="default" w:ascii="Times New Roman" w:hAnsi="Times New Roman" w:cs="Times New Roman"/>
                <w:szCs w:val="21"/>
                <w:highlight w:val="none"/>
              </w:rPr>
            </w:pPr>
          </w:p>
        </w:tc>
      </w:tr>
      <w:tr w14:paraId="73B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C738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94492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2E9C5E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7885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F4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4B31B">
            <w:pPr>
              <w:pageBreakBefore w:val="0"/>
              <w:kinsoku/>
              <w:wordWrap w:val="0"/>
              <w:bidi w:val="0"/>
              <w:spacing w:line="360" w:lineRule="atLeast"/>
              <w:jc w:val="center"/>
              <w:rPr>
                <w:rFonts w:hint="default" w:ascii="Times New Roman" w:hAnsi="Times New Roman" w:cs="Times New Roman"/>
                <w:szCs w:val="21"/>
                <w:highlight w:val="none"/>
              </w:rPr>
            </w:pPr>
          </w:p>
        </w:tc>
      </w:tr>
      <w:tr w14:paraId="0890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D0D4F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3B7BC04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33C18D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D17FE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F64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BB3566">
            <w:pPr>
              <w:pageBreakBefore w:val="0"/>
              <w:kinsoku/>
              <w:wordWrap w:val="0"/>
              <w:bidi w:val="0"/>
              <w:spacing w:line="360" w:lineRule="atLeast"/>
              <w:jc w:val="center"/>
              <w:rPr>
                <w:rFonts w:hint="default" w:ascii="Times New Roman" w:hAnsi="Times New Roman" w:cs="Times New Roman"/>
                <w:szCs w:val="21"/>
                <w:highlight w:val="none"/>
              </w:rPr>
            </w:pPr>
          </w:p>
        </w:tc>
      </w:tr>
      <w:tr w14:paraId="648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555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207-2</w:t>
            </w:r>
          </w:p>
        </w:tc>
        <w:tc>
          <w:tcPr>
            <w:tcW w:w="4732" w:type="dxa"/>
            <w:noWrap w:val="0"/>
            <w:vAlign w:val="center"/>
          </w:tcPr>
          <w:p w14:paraId="4D3730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排水沟</w:t>
            </w:r>
          </w:p>
        </w:tc>
        <w:tc>
          <w:tcPr>
            <w:tcW w:w="749" w:type="dxa"/>
            <w:noWrap w:val="0"/>
            <w:vAlign w:val="center"/>
          </w:tcPr>
          <w:p w14:paraId="5E847EA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71A50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F28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187514">
            <w:pPr>
              <w:pageBreakBefore w:val="0"/>
              <w:kinsoku/>
              <w:wordWrap w:val="0"/>
              <w:bidi w:val="0"/>
              <w:spacing w:line="360" w:lineRule="atLeast"/>
              <w:jc w:val="center"/>
              <w:rPr>
                <w:rFonts w:hint="default" w:ascii="Times New Roman" w:hAnsi="Times New Roman" w:cs="Times New Roman"/>
                <w:szCs w:val="21"/>
                <w:highlight w:val="none"/>
              </w:rPr>
            </w:pPr>
          </w:p>
        </w:tc>
      </w:tr>
      <w:tr w14:paraId="454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DB4D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255B3EC">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1C5D3CD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A982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1354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92FA57">
            <w:pPr>
              <w:pageBreakBefore w:val="0"/>
              <w:kinsoku/>
              <w:wordWrap w:val="0"/>
              <w:bidi w:val="0"/>
              <w:spacing w:line="360" w:lineRule="atLeast"/>
              <w:jc w:val="center"/>
              <w:rPr>
                <w:rFonts w:hint="default" w:ascii="Times New Roman" w:hAnsi="Times New Roman" w:cs="Times New Roman"/>
                <w:szCs w:val="21"/>
                <w:highlight w:val="none"/>
              </w:rPr>
            </w:pPr>
          </w:p>
        </w:tc>
      </w:tr>
      <w:tr w14:paraId="69C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3B48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95FB8A8">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4CB41C0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AAFF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6F6C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82FBCF">
            <w:pPr>
              <w:pageBreakBefore w:val="0"/>
              <w:kinsoku/>
              <w:wordWrap w:val="0"/>
              <w:bidi w:val="0"/>
              <w:spacing w:line="360" w:lineRule="atLeast"/>
              <w:jc w:val="center"/>
              <w:rPr>
                <w:rFonts w:hint="default" w:ascii="Times New Roman" w:hAnsi="Times New Roman" w:cs="Times New Roman"/>
                <w:szCs w:val="21"/>
                <w:highlight w:val="none"/>
              </w:rPr>
            </w:pPr>
          </w:p>
        </w:tc>
      </w:tr>
      <w:tr w14:paraId="6CFE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3DC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3FB141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085BA4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60F6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B18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EBC65">
            <w:pPr>
              <w:pageBreakBefore w:val="0"/>
              <w:kinsoku/>
              <w:wordWrap w:val="0"/>
              <w:bidi w:val="0"/>
              <w:spacing w:line="360" w:lineRule="atLeast"/>
              <w:jc w:val="center"/>
              <w:rPr>
                <w:rFonts w:hint="default" w:ascii="Times New Roman" w:hAnsi="Times New Roman" w:cs="Times New Roman"/>
                <w:szCs w:val="21"/>
                <w:highlight w:val="none"/>
              </w:rPr>
            </w:pPr>
          </w:p>
        </w:tc>
      </w:tr>
      <w:tr w14:paraId="208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3E02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C03CF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E1997A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F3EF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E6B9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302A2">
            <w:pPr>
              <w:pageBreakBefore w:val="0"/>
              <w:kinsoku/>
              <w:wordWrap w:val="0"/>
              <w:bidi w:val="0"/>
              <w:spacing w:line="360" w:lineRule="atLeast"/>
              <w:jc w:val="center"/>
              <w:rPr>
                <w:rFonts w:hint="default" w:ascii="Times New Roman" w:hAnsi="Times New Roman" w:cs="Times New Roman"/>
                <w:szCs w:val="21"/>
                <w:highlight w:val="none"/>
              </w:rPr>
            </w:pPr>
          </w:p>
        </w:tc>
      </w:tr>
      <w:tr w14:paraId="1A2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150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978E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643286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59C0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0574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5AC085">
            <w:pPr>
              <w:pageBreakBefore w:val="0"/>
              <w:kinsoku/>
              <w:wordWrap w:val="0"/>
              <w:bidi w:val="0"/>
              <w:spacing w:line="360" w:lineRule="atLeast"/>
              <w:jc w:val="center"/>
              <w:rPr>
                <w:rFonts w:hint="default" w:ascii="Times New Roman" w:hAnsi="Times New Roman" w:cs="Times New Roman"/>
                <w:szCs w:val="21"/>
                <w:highlight w:val="none"/>
              </w:rPr>
            </w:pPr>
          </w:p>
        </w:tc>
      </w:tr>
      <w:tr w14:paraId="2467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724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5DED6BC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73CC4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B5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9B23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D82BD3">
            <w:pPr>
              <w:pageBreakBefore w:val="0"/>
              <w:kinsoku/>
              <w:wordWrap w:val="0"/>
              <w:bidi w:val="0"/>
              <w:spacing w:line="360" w:lineRule="atLeast"/>
              <w:jc w:val="center"/>
              <w:rPr>
                <w:rFonts w:hint="default" w:ascii="Times New Roman" w:hAnsi="Times New Roman" w:cs="Times New Roman"/>
                <w:szCs w:val="21"/>
                <w:highlight w:val="none"/>
              </w:rPr>
            </w:pPr>
          </w:p>
        </w:tc>
      </w:tr>
      <w:tr w14:paraId="0C5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268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207-3</w:t>
            </w:r>
          </w:p>
        </w:tc>
        <w:tc>
          <w:tcPr>
            <w:tcW w:w="4732" w:type="dxa"/>
            <w:noWrap w:val="0"/>
            <w:vAlign w:val="center"/>
          </w:tcPr>
          <w:p w14:paraId="5981F6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截水沟</w:t>
            </w:r>
          </w:p>
        </w:tc>
        <w:tc>
          <w:tcPr>
            <w:tcW w:w="749" w:type="dxa"/>
            <w:noWrap w:val="0"/>
            <w:vAlign w:val="center"/>
          </w:tcPr>
          <w:p w14:paraId="61BE41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B9C84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324A3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716C9">
            <w:pPr>
              <w:pageBreakBefore w:val="0"/>
              <w:kinsoku/>
              <w:wordWrap w:val="0"/>
              <w:bidi w:val="0"/>
              <w:spacing w:line="360" w:lineRule="atLeast"/>
              <w:jc w:val="center"/>
              <w:rPr>
                <w:rFonts w:hint="default" w:ascii="Times New Roman" w:hAnsi="Times New Roman" w:cs="Times New Roman"/>
                <w:szCs w:val="21"/>
                <w:highlight w:val="none"/>
              </w:rPr>
            </w:pPr>
          </w:p>
        </w:tc>
      </w:tr>
      <w:tr w14:paraId="2C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F13D9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45ACB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0D3101D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1305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AB72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1DD4DF">
            <w:pPr>
              <w:pageBreakBefore w:val="0"/>
              <w:kinsoku/>
              <w:wordWrap w:val="0"/>
              <w:bidi w:val="0"/>
              <w:spacing w:line="360" w:lineRule="atLeast"/>
              <w:jc w:val="center"/>
              <w:rPr>
                <w:rFonts w:hint="default" w:ascii="Times New Roman" w:hAnsi="Times New Roman" w:cs="Times New Roman"/>
                <w:szCs w:val="21"/>
                <w:highlight w:val="none"/>
              </w:rPr>
            </w:pPr>
          </w:p>
        </w:tc>
      </w:tr>
      <w:tr w14:paraId="591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C3F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F005554">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B0FB0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FAD8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4E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8508A8">
            <w:pPr>
              <w:pageBreakBefore w:val="0"/>
              <w:kinsoku/>
              <w:wordWrap w:val="0"/>
              <w:bidi w:val="0"/>
              <w:spacing w:line="360" w:lineRule="atLeast"/>
              <w:jc w:val="center"/>
              <w:rPr>
                <w:rFonts w:hint="default" w:ascii="Times New Roman" w:hAnsi="Times New Roman" w:cs="Times New Roman"/>
                <w:szCs w:val="21"/>
                <w:highlight w:val="none"/>
              </w:rPr>
            </w:pPr>
          </w:p>
        </w:tc>
      </w:tr>
      <w:tr w14:paraId="349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C229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8C5E50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EEAD3F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36AD5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80D2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89F29E">
            <w:pPr>
              <w:pageBreakBefore w:val="0"/>
              <w:kinsoku/>
              <w:wordWrap w:val="0"/>
              <w:bidi w:val="0"/>
              <w:spacing w:line="360" w:lineRule="atLeast"/>
              <w:jc w:val="center"/>
              <w:rPr>
                <w:rFonts w:hint="default" w:ascii="Times New Roman" w:hAnsi="Times New Roman" w:cs="Times New Roman"/>
                <w:szCs w:val="21"/>
                <w:highlight w:val="none"/>
              </w:rPr>
            </w:pPr>
          </w:p>
        </w:tc>
      </w:tr>
      <w:tr w14:paraId="77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A0DA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1187E1F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71BD7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F850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4CE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BFFE7">
            <w:pPr>
              <w:pageBreakBefore w:val="0"/>
              <w:kinsoku/>
              <w:wordWrap w:val="0"/>
              <w:bidi w:val="0"/>
              <w:spacing w:line="360" w:lineRule="atLeast"/>
              <w:jc w:val="center"/>
              <w:rPr>
                <w:rFonts w:hint="default" w:ascii="Times New Roman" w:hAnsi="Times New Roman" w:cs="Times New Roman"/>
                <w:szCs w:val="21"/>
                <w:highlight w:val="none"/>
              </w:rPr>
            </w:pPr>
          </w:p>
        </w:tc>
      </w:tr>
      <w:tr w14:paraId="712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67CB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-e</w:t>
            </w:r>
          </w:p>
        </w:tc>
        <w:tc>
          <w:tcPr>
            <w:tcW w:w="4732" w:type="dxa"/>
            <w:noWrap w:val="0"/>
            <w:vAlign w:val="center"/>
          </w:tcPr>
          <w:p w14:paraId="16EC32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7EE191E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04B3B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C5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AF7FF">
            <w:pPr>
              <w:pageBreakBefore w:val="0"/>
              <w:kinsoku/>
              <w:wordWrap w:val="0"/>
              <w:bidi w:val="0"/>
              <w:spacing w:line="360" w:lineRule="atLeast"/>
              <w:jc w:val="center"/>
              <w:rPr>
                <w:rFonts w:hint="default" w:ascii="Times New Roman" w:hAnsi="Times New Roman" w:cs="Times New Roman"/>
                <w:szCs w:val="21"/>
                <w:highlight w:val="none"/>
              </w:rPr>
            </w:pPr>
          </w:p>
        </w:tc>
      </w:tr>
      <w:tr w14:paraId="3D2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2366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207-4</w:t>
            </w:r>
          </w:p>
        </w:tc>
        <w:tc>
          <w:tcPr>
            <w:tcW w:w="4732" w:type="dxa"/>
            <w:noWrap w:val="0"/>
            <w:vAlign w:val="center"/>
          </w:tcPr>
          <w:p w14:paraId="18AA92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跌水与急流槽</w:t>
            </w:r>
          </w:p>
        </w:tc>
        <w:tc>
          <w:tcPr>
            <w:tcW w:w="749" w:type="dxa"/>
            <w:noWrap w:val="0"/>
            <w:vAlign w:val="center"/>
          </w:tcPr>
          <w:p w14:paraId="4E7506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D074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5E31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4D480">
            <w:pPr>
              <w:pageBreakBefore w:val="0"/>
              <w:kinsoku/>
              <w:wordWrap w:val="0"/>
              <w:bidi w:val="0"/>
              <w:spacing w:line="360" w:lineRule="atLeast"/>
              <w:jc w:val="center"/>
              <w:rPr>
                <w:rFonts w:hint="default" w:ascii="Times New Roman" w:hAnsi="Times New Roman" w:cs="Times New Roman"/>
                <w:szCs w:val="21"/>
                <w:highlight w:val="none"/>
              </w:rPr>
            </w:pPr>
          </w:p>
        </w:tc>
      </w:tr>
      <w:tr w14:paraId="309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07D04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E581D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8D9233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2FC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0EA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461125">
            <w:pPr>
              <w:pageBreakBefore w:val="0"/>
              <w:kinsoku/>
              <w:wordWrap w:val="0"/>
              <w:bidi w:val="0"/>
              <w:spacing w:line="360" w:lineRule="atLeast"/>
              <w:jc w:val="center"/>
              <w:rPr>
                <w:rFonts w:hint="default" w:ascii="Times New Roman" w:hAnsi="Times New Roman" w:cs="Times New Roman"/>
                <w:szCs w:val="21"/>
                <w:highlight w:val="none"/>
              </w:rPr>
            </w:pPr>
          </w:p>
        </w:tc>
      </w:tr>
      <w:tr w14:paraId="13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C105C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2101A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浆砌片石</w:t>
            </w:r>
          </w:p>
        </w:tc>
        <w:tc>
          <w:tcPr>
            <w:tcW w:w="749" w:type="dxa"/>
            <w:noWrap w:val="0"/>
            <w:vAlign w:val="center"/>
          </w:tcPr>
          <w:p w14:paraId="3DEB65B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B2BF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C895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D01A88">
            <w:pPr>
              <w:pageBreakBefore w:val="0"/>
              <w:kinsoku/>
              <w:wordWrap w:val="0"/>
              <w:bidi w:val="0"/>
              <w:spacing w:line="360" w:lineRule="atLeast"/>
              <w:jc w:val="center"/>
              <w:rPr>
                <w:rFonts w:hint="default" w:ascii="Times New Roman" w:hAnsi="Times New Roman" w:cs="Times New Roman"/>
                <w:szCs w:val="21"/>
                <w:highlight w:val="none"/>
              </w:rPr>
            </w:pPr>
          </w:p>
        </w:tc>
      </w:tr>
      <w:tr w14:paraId="67B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DEDF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A3DFEB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6A185FC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FC8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53B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7BF19">
            <w:pPr>
              <w:pageBreakBefore w:val="0"/>
              <w:kinsoku/>
              <w:wordWrap w:val="0"/>
              <w:bidi w:val="0"/>
              <w:spacing w:line="360" w:lineRule="atLeast"/>
              <w:jc w:val="center"/>
              <w:rPr>
                <w:rFonts w:hint="default" w:ascii="Times New Roman" w:hAnsi="Times New Roman" w:cs="Times New Roman"/>
                <w:szCs w:val="21"/>
                <w:highlight w:val="none"/>
              </w:rPr>
            </w:pPr>
          </w:p>
        </w:tc>
      </w:tr>
      <w:tr w14:paraId="0F6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2A24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39DDA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635338C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2C39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B13F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F502B9">
            <w:pPr>
              <w:pageBreakBefore w:val="0"/>
              <w:kinsoku/>
              <w:wordWrap w:val="0"/>
              <w:bidi w:val="0"/>
              <w:spacing w:line="360" w:lineRule="atLeast"/>
              <w:jc w:val="center"/>
              <w:rPr>
                <w:rFonts w:hint="default" w:ascii="Times New Roman" w:hAnsi="Times New Roman" w:cs="Times New Roman"/>
                <w:szCs w:val="21"/>
                <w:highlight w:val="none"/>
              </w:rPr>
            </w:pPr>
          </w:p>
        </w:tc>
      </w:tr>
      <w:tr w14:paraId="4DD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084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207-5</w:t>
            </w:r>
          </w:p>
        </w:tc>
        <w:tc>
          <w:tcPr>
            <w:tcW w:w="4732" w:type="dxa"/>
            <w:noWrap w:val="0"/>
            <w:vAlign w:val="center"/>
          </w:tcPr>
          <w:p w14:paraId="492C6B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749" w:type="dxa"/>
            <w:noWrap w:val="0"/>
            <w:vAlign w:val="center"/>
          </w:tcPr>
          <w:p w14:paraId="5CE0E5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A7B0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52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9169CF">
            <w:pPr>
              <w:pageBreakBefore w:val="0"/>
              <w:kinsoku/>
              <w:wordWrap w:val="0"/>
              <w:bidi w:val="0"/>
              <w:spacing w:line="360" w:lineRule="atLeast"/>
              <w:jc w:val="center"/>
              <w:rPr>
                <w:rFonts w:hint="default" w:ascii="Times New Roman" w:hAnsi="Times New Roman" w:cs="Times New Roman"/>
                <w:szCs w:val="21"/>
                <w:highlight w:val="none"/>
              </w:rPr>
            </w:pPr>
          </w:p>
        </w:tc>
      </w:tr>
      <w:tr w14:paraId="566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DAF8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207-6</w:t>
            </w:r>
          </w:p>
        </w:tc>
        <w:tc>
          <w:tcPr>
            <w:tcW w:w="4732" w:type="dxa"/>
            <w:noWrap w:val="0"/>
            <w:vAlign w:val="center"/>
          </w:tcPr>
          <w:p w14:paraId="634A53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蒸发池</w:t>
            </w:r>
          </w:p>
        </w:tc>
        <w:tc>
          <w:tcPr>
            <w:tcW w:w="749" w:type="dxa"/>
            <w:noWrap w:val="0"/>
            <w:vAlign w:val="center"/>
          </w:tcPr>
          <w:p w14:paraId="739AF6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3712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BB72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3467A6">
            <w:pPr>
              <w:pageBreakBefore w:val="0"/>
              <w:kinsoku/>
              <w:wordWrap w:val="0"/>
              <w:bidi w:val="0"/>
              <w:spacing w:line="360" w:lineRule="atLeast"/>
              <w:jc w:val="center"/>
              <w:rPr>
                <w:rFonts w:hint="default" w:ascii="Times New Roman" w:hAnsi="Times New Roman" w:cs="Times New Roman"/>
                <w:szCs w:val="21"/>
                <w:highlight w:val="none"/>
              </w:rPr>
            </w:pPr>
          </w:p>
        </w:tc>
      </w:tr>
      <w:tr w14:paraId="3C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F845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E2751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挖土（石）方</w:t>
            </w:r>
          </w:p>
        </w:tc>
        <w:tc>
          <w:tcPr>
            <w:tcW w:w="749" w:type="dxa"/>
            <w:noWrap w:val="0"/>
            <w:vAlign w:val="center"/>
          </w:tcPr>
          <w:p w14:paraId="7AF9C1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EC250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B65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643C2A">
            <w:pPr>
              <w:pageBreakBefore w:val="0"/>
              <w:kinsoku/>
              <w:wordWrap w:val="0"/>
              <w:bidi w:val="0"/>
              <w:spacing w:line="360" w:lineRule="atLeast"/>
              <w:jc w:val="center"/>
              <w:rPr>
                <w:rFonts w:hint="default" w:ascii="Times New Roman" w:hAnsi="Times New Roman" w:cs="Times New Roman"/>
                <w:szCs w:val="21"/>
                <w:highlight w:val="none"/>
              </w:rPr>
            </w:pPr>
          </w:p>
        </w:tc>
      </w:tr>
      <w:tr w14:paraId="667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5D6F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991EC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圬工</w:t>
            </w:r>
          </w:p>
        </w:tc>
        <w:tc>
          <w:tcPr>
            <w:tcW w:w="749" w:type="dxa"/>
            <w:noWrap w:val="0"/>
            <w:vAlign w:val="center"/>
          </w:tcPr>
          <w:p w14:paraId="07BEF7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8B9D3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77F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C368FD">
            <w:pPr>
              <w:pageBreakBefore w:val="0"/>
              <w:kinsoku/>
              <w:wordWrap w:val="0"/>
              <w:bidi w:val="0"/>
              <w:spacing w:line="360" w:lineRule="atLeast"/>
              <w:jc w:val="center"/>
              <w:rPr>
                <w:rFonts w:hint="default" w:ascii="Times New Roman" w:hAnsi="Times New Roman" w:cs="Times New Roman"/>
                <w:szCs w:val="21"/>
                <w:highlight w:val="none"/>
              </w:rPr>
            </w:pPr>
          </w:p>
        </w:tc>
      </w:tr>
      <w:tr w14:paraId="514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401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207-7</w:t>
            </w:r>
          </w:p>
        </w:tc>
        <w:tc>
          <w:tcPr>
            <w:tcW w:w="4732" w:type="dxa"/>
            <w:noWrap w:val="0"/>
            <w:vAlign w:val="center"/>
          </w:tcPr>
          <w:p w14:paraId="49B0045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涵洞上下游改沟、改渠铺砌</w:t>
            </w:r>
          </w:p>
        </w:tc>
        <w:tc>
          <w:tcPr>
            <w:tcW w:w="749" w:type="dxa"/>
            <w:noWrap w:val="0"/>
            <w:vAlign w:val="center"/>
          </w:tcPr>
          <w:p w14:paraId="6CF713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672D7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5DFA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387769">
            <w:pPr>
              <w:pageBreakBefore w:val="0"/>
              <w:kinsoku/>
              <w:wordWrap w:val="0"/>
              <w:bidi w:val="0"/>
              <w:spacing w:line="360" w:lineRule="atLeast"/>
              <w:jc w:val="center"/>
              <w:rPr>
                <w:rFonts w:hint="default" w:ascii="Times New Roman" w:hAnsi="Times New Roman" w:cs="Times New Roman"/>
                <w:szCs w:val="21"/>
                <w:highlight w:val="none"/>
              </w:rPr>
            </w:pPr>
          </w:p>
        </w:tc>
      </w:tr>
      <w:tr w14:paraId="594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973E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5CB5DD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12450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108C7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39B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8CF47C">
            <w:pPr>
              <w:pageBreakBefore w:val="0"/>
              <w:kinsoku/>
              <w:wordWrap w:val="0"/>
              <w:bidi w:val="0"/>
              <w:spacing w:line="360" w:lineRule="atLeast"/>
              <w:jc w:val="center"/>
              <w:rPr>
                <w:rFonts w:hint="default" w:ascii="Times New Roman" w:hAnsi="Times New Roman" w:cs="Times New Roman"/>
                <w:szCs w:val="21"/>
                <w:highlight w:val="none"/>
              </w:rPr>
            </w:pPr>
          </w:p>
        </w:tc>
      </w:tr>
      <w:tr w14:paraId="46D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F045A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4FB27A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现浇混凝土铺砌</w:t>
            </w:r>
          </w:p>
        </w:tc>
        <w:tc>
          <w:tcPr>
            <w:tcW w:w="749" w:type="dxa"/>
            <w:noWrap w:val="0"/>
            <w:vAlign w:val="center"/>
          </w:tcPr>
          <w:p w14:paraId="39DCD8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05506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A969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4ECB47">
            <w:pPr>
              <w:pageBreakBefore w:val="0"/>
              <w:kinsoku/>
              <w:wordWrap w:val="0"/>
              <w:bidi w:val="0"/>
              <w:spacing w:line="360" w:lineRule="atLeast"/>
              <w:jc w:val="center"/>
              <w:rPr>
                <w:rFonts w:hint="default" w:ascii="Times New Roman" w:hAnsi="Times New Roman" w:cs="Times New Roman"/>
                <w:szCs w:val="21"/>
                <w:highlight w:val="none"/>
              </w:rPr>
            </w:pPr>
          </w:p>
        </w:tc>
      </w:tr>
      <w:tr w14:paraId="236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6FAA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7963B9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预制混凝土铺砌</w:t>
            </w:r>
          </w:p>
        </w:tc>
        <w:tc>
          <w:tcPr>
            <w:tcW w:w="749" w:type="dxa"/>
            <w:noWrap w:val="0"/>
            <w:vAlign w:val="center"/>
          </w:tcPr>
          <w:p w14:paraId="5287D0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59543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14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76733D">
            <w:pPr>
              <w:pageBreakBefore w:val="0"/>
              <w:kinsoku/>
              <w:wordWrap w:val="0"/>
              <w:bidi w:val="0"/>
              <w:spacing w:line="360" w:lineRule="atLeast"/>
              <w:jc w:val="center"/>
              <w:rPr>
                <w:rFonts w:hint="default" w:ascii="Times New Roman" w:hAnsi="Times New Roman" w:cs="Times New Roman"/>
                <w:szCs w:val="21"/>
                <w:highlight w:val="none"/>
              </w:rPr>
            </w:pPr>
          </w:p>
        </w:tc>
      </w:tr>
      <w:tr w14:paraId="454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736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207-8</w:t>
            </w:r>
          </w:p>
        </w:tc>
        <w:tc>
          <w:tcPr>
            <w:tcW w:w="4732" w:type="dxa"/>
            <w:noWrap w:val="0"/>
            <w:vAlign w:val="center"/>
          </w:tcPr>
          <w:p w14:paraId="636B4A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现浇混凝土坡面排水结构物</w:t>
            </w:r>
          </w:p>
        </w:tc>
        <w:tc>
          <w:tcPr>
            <w:tcW w:w="749" w:type="dxa"/>
            <w:noWrap w:val="0"/>
            <w:vAlign w:val="center"/>
          </w:tcPr>
          <w:p w14:paraId="79FAA2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EB81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7E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407115">
            <w:pPr>
              <w:pageBreakBefore w:val="0"/>
              <w:kinsoku/>
              <w:wordWrap w:val="0"/>
              <w:bidi w:val="0"/>
              <w:spacing w:line="360" w:lineRule="atLeast"/>
              <w:jc w:val="center"/>
              <w:rPr>
                <w:rFonts w:hint="default" w:ascii="Times New Roman" w:hAnsi="Times New Roman" w:cs="Times New Roman"/>
                <w:szCs w:val="21"/>
                <w:highlight w:val="none"/>
              </w:rPr>
            </w:pPr>
          </w:p>
        </w:tc>
      </w:tr>
      <w:tr w14:paraId="5F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A0F0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207-9</w:t>
            </w:r>
          </w:p>
        </w:tc>
        <w:tc>
          <w:tcPr>
            <w:tcW w:w="4732" w:type="dxa"/>
            <w:noWrap w:val="0"/>
            <w:vAlign w:val="center"/>
          </w:tcPr>
          <w:p w14:paraId="4785C2C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预制混凝土坡面排水结构物</w:t>
            </w:r>
          </w:p>
        </w:tc>
        <w:tc>
          <w:tcPr>
            <w:tcW w:w="749" w:type="dxa"/>
            <w:noWrap w:val="0"/>
            <w:vAlign w:val="center"/>
          </w:tcPr>
          <w:p w14:paraId="3406DA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38B3D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FBD2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540F356">
            <w:pPr>
              <w:pageBreakBefore w:val="0"/>
              <w:kinsoku/>
              <w:wordWrap w:val="0"/>
              <w:bidi w:val="0"/>
              <w:spacing w:line="360" w:lineRule="atLeast"/>
              <w:jc w:val="center"/>
              <w:rPr>
                <w:rFonts w:hint="default" w:ascii="Times New Roman" w:hAnsi="Times New Roman" w:cs="Times New Roman"/>
                <w:szCs w:val="21"/>
                <w:highlight w:val="none"/>
              </w:rPr>
            </w:pPr>
          </w:p>
        </w:tc>
      </w:tr>
      <w:tr w14:paraId="1C7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C1C6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207-10</w:t>
            </w:r>
          </w:p>
        </w:tc>
        <w:tc>
          <w:tcPr>
            <w:tcW w:w="4732" w:type="dxa"/>
            <w:noWrap w:val="0"/>
            <w:vAlign w:val="center"/>
          </w:tcPr>
          <w:p w14:paraId="471E9B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仰斜式排水孔</w:t>
            </w:r>
          </w:p>
        </w:tc>
        <w:tc>
          <w:tcPr>
            <w:tcW w:w="749" w:type="dxa"/>
            <w:noWrap w:val="0"/>
            <w:vAlign w:val="center"/>
          </w:tcPr>
          <w:p w14:paraId="5D3767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87F2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273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A840F">
            <w:pPr>
              <w:pageBreakBefore w:val="0"/>
              <w:kinsoku/>
              <w:wordWrap w:val="0"/>
              <w:bidi w:val="0"/>
              <w:spacing w:line="360" w:lineRule="atLeast"/>
              <w:jc w:val="center"/>
              <w:rPr>
                <w:rFonts w:hint="default" w:ascii="Times New Roman" w:hAnsi="Times New Roman" w:cs="Times New Roman"/>
                <w:szCs w:val="21"/>
                <w:highlight w:val="none"/>
              </w:rPr>
            </w:pPr>
          </w:p>
        </w:tc>
      </w:tr>
      <w:tr w14:paraId="05B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D1403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8D9B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w:t>
            </w:r>
          </w:p>
        </w:tc>
        <w:tc>
          <w:tcPr>
            <w:tcW w:w="749" w:type="dxa"/>
            <w:noWrap w:val="0"/>
            <w:vAlign w:val="center"/>
          </w:tcPr>
          <w:p w14:paraId="2AFC71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43AB5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081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370DA9">
            <w:pPr>
              <w:pageBreakBefore w:val="0"/>
              <w:kinsoku/>
              <w:wordWrap w:val="0"/>
              <w:bidi w:val="0"/>
              <w:spacing w:line="360" w:lineRule="atLeast"/>
              <w:jc w:val="center"/>
              <w:rPr>
                <w:rFonts w:hint="default" w:ascii="Times New Roman" w:hAnsi="Times New Roman" w:cs="Times New Roman"/>
                <w:szCs w:val="21"/>
                <w:highlight w:val="none"/>
              </w:rPr>
            </w:pPr>
          </w:p>
        </w:tc>
      </w:tr>
      <w:tr w14:paraId="46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42FC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16C9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749" w:type="dxa"/>
            <w:noWrap w:val="0"/>
            <w:vAlign w:val="center"/>
          </w:tcPr>
          <w:p w14:paraId="50546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04E0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EEA1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B25E26">
            <w:pPr>
              <w:pageBreakBefore w:val="0"/>
              <w:kinsoku/>
              <w:wordWrap w:val="0"/>
              <w:bidi w:val="0"/>
              <w:spacing w:line="360" w:lineRule="atLeast"/>
              <w:jc w:val="center"/>
              <w:rPr>
                <w:rFonts w:hint="default" w:ascii="Times New Roman" w:hAnsi="Times New Roman" w:cs="Times New Roman"/>
                <w:szCs w:val="21"/>
                <w:highlight w:val="none"/>
              </w:rPr>
            </w:pPr>
          </w:p>
        </w:tc>
      </w:tr>
      <w:tr w14:paraId="2241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D9D1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BC308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软式透水管</w:t>
            </w:r>
          </w:p>
        </w:tc>
        <w:tc>
          <w:tcPr>
            <w:tcW w:w="749" w:type="dxa"/>
            <w:noWrap w:val="0"/>
            <w:vAlign w:val="center"/>
          </w:tcPr>
          <w:p w14:paraId="5906E2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E1BD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F5D9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273019">
            <w:pPr>
              <w:pageBreakBefore w:val="0"/>
              <w:kinsoku/>
              <w:wordWrap w:val="0"/>
              <w:bidi w:val="0"/>
              <w:spacing w:line="360" w:lineRule="atLeast"/>
              <w:jc w:val="center"/>
              <w:rPr>
                <w:rFonts w:hint="default" w:ascii="Times New Roman" w:hAnsi="Times New Roman" w:cs="Times New Roman"/>
                <w:szCs w:val="21"/>
                <w:highlight w:val="none"/>
              </w:rPr>
            </w:pPr>
          </w:p>
        </w:tc>
      </w:tr>
      <w:tr w14:paraId="200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942C3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208</w:t>
            </w:r>
          </w:p>
        </w:tc>
        <w:tc>
          <w:tcPr>
            <w:tcW w:w="4732" w:type="dxa"/>
            <w:noWrap w:val="0"/>
            <w:vAlign w:val="center"/>
          </w:tcPr>
          <w:p w14:paraId="1BA94AC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护坡、护面墙</w:t>
            </w:r>
          </w:p>
        </w:tc>
        <w:tc>
          <w:tcPr>
            <w:tcW w:w="749" w:type="dxa"/>
            <w:noWrap w:val="0"/>
            <w:vAlign w:val="center"/>
          </w:tcPr>
          <w:p w14:paraId="13EC071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7F483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1AA1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954683">
            <w:pPr>
              <w:pageBreakBefore w:val="0"/>
              <w:kinsoku/>
              <w:wordWrap w:val="0"/>
              <w:bidi w:val="0"/>
              <w:spacing w:line="360" w:lineRule="atLeast"/>
              <w:jc w:val="center"/>
              <w:rPr>
                <w:rFonts w:hint="default" w:ascii="Times New Roman" w:hAnsi="Times New Roman" w:cs="Times New Roman"/>
                <w:szCs w:val="21"/>
                <w:highlight w:val="none"/>
              </w:rPr>
            </w:pPr>
          </w:p>
        </w:tc>
      </w:tr>
      <w:tr w14:paraId="18D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55D1B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208-1</w:t>
            </w:r>
          </w:p>
        </w:tc>
        <w:tc>
          <w:tcPr>
            <w:tcW w:w="4732" w:type="dxa"/>
            <w:noWrap w:val="0"/>
            <w:vAlign w:val="center"/>
          </w:tcPr>
          <w:p w14:paraId="64393C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护坡垫层</w:t>
            </w:r>
          </w:p>
        </w:tc>
        <w:tc>
          <w:tcPr>
            <w:tcW w:w="749" w:type="dxa"/>
            <w:noWrap w:val="0"/>
            <w:vAlign w:val="center"/>
          </w:tcPr>
          <w:p w14:paraId="6B4E9A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D8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67B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B32F1">
            <w:pPr>
              <w:pageBreakBefore w:val="0"/>
              <w:kinsoku/>
              <w:wordWrap w:val="0"/>
              <w:bidi w:val="0"/>
              <w:spacing w:line="360" w:lineRule="atLeast"/>
              <w:jc w:val="center"/>
              <w:rPr>
                <w:rFonts w:hint="default" w:ascii="Times New Roman" w:hAnsi="Times New Roman" w:cs="Times New Roman"/>
                <w:szCs w:val="21"/>
                <w:highlight w:val="none"/>
              </w:rPr>
            </w:pPr>
          </w:p>
        </w:tc>
      </w:tr>
      <w:tr w14:paraId="37B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DE5A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208-2</w:t>
            </w:r>
          </w:p>
        </w:tc>
        <w:tc>
          <w:tcPr>
            <w:tcW w:w="4732" w:type="dxa"/>
            <w:noWrap w:val="0"/>
            <w:vAlign w:val="center"/>
          </w:tcPr>
          <w:p w14:paraId="538F81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干砌片石护坡</w:t>
            </w:r>
          </w:p>
        </w:tc>
        <w:tc>
          <w:tcPr>
            <w:tcW w:w="749" w:type="dxa"/>
            <w:noWrap w:val="0"/>
            <w:vAlign w:val="center"/>
          </w:tcPr>
          <w:p w14:paraId="65AB64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373F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3148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B17772">
            <w:pPr>
              <w:pageBreakBefore w:val="0"/>
              <w:kinsoku/>
              <w:wordWrap w:val="0"/>
              <w:bidi w:val="0"/>
              <w:spacing w:line="360" w:lineRule="atLeast"/>
              <w:jc w:val="center"/>
              <w:rPr>
                <w:rFonts w:hint="default" w:ascii="Times New Roman" w:hAnsi="Times New Roman" w:cs="Times New Roman"/>
                <w:szCs w:val="21"/>
                <w:highlight w:val="none"/>
              </w:rPr>
            </w:pPr>
          </w:p>
        </w:tc>
      </w:tr>
      <w:tr w14:paraId="2BE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216C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208-3</w:t>
            </w:r>
          </w:p>
        </w:tc>
        <w:tc>
          <w:tcPr>
            <w:tcW w:w="4732" w:type="dxa"/>
            <w:noWrap w:val="0"/>
            <w:vAlign w:val="center"/>
          </w:tcPr>
          <w:p w14:paraId="4FD64F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749" w:type="dxa"/>
            <w:noWrap w:val="0"/>
            <w:vAlign w:val="center"/>
          </w:tcPr>
          <w:p w14:paraId="744189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37739C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622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CD856">
            <w:pPr>
              <w:pageBreakBefore w:val="0"/>
              <w:kinsoku/>
              <w:wordWrap w:val="0"/>
              <w:bidi w:val="0"/>
              <w:spacing w:line="360" w:lineRule="atLeast"/>
              <w:jc w:val="center"/>
              <w:rPr>
                <w:rFonts w:hint="default" w:ascii="Times New Roman" w:hAnsi="Times New Roman" w:cs="Times New Roman"/>
                <w:szCs w:val="21"/>
                <w:highlight w:val="none"/>
              </w:rPr>
            </w:pPr>
          </w:p>
        </w:tc>
      </w:tr>
      <w:tr w14:paraId="574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B9B0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96E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满铺浆砌片石护坡</w:t>
            </w:r>
          </w:p>
        </w:tc>
        <w:tc>
          <w:tcPr>
            <w:tcW w:w="749" w:type="dxa"/>
            <w:noWrap w:val="0"/>
            <w:vAlign w:val="center"/>
          </w:tcPr>
          <w:p w14:paraId="3466E4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6C6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E4D9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4E783">
            <w:pPr>
              <w:pageBreakBefore w:val="0"/>
              <w:kinsoku/>
              <w:wordWrap w:val="0"/>
              <w:bidi w:val="0"/>
              <w:spacing w:line="360" w:lineRule="atLeast"/>
              <w:jc w:val="center"/>
              <w:rPr>
                <w:rFonts w:hint="default" w:ascii="Times New Roman" w:hAnsi="Times New Roman" w:cs="Times New Roman"/>
                <w:szCs w:val="21"/>
                <w:highlight w:val="none"/>
              </w:rPr>
            </w:pPr>
          </w:p>
        </w:tc>
      </w:tr>
      <w:tr w14:paraId="359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1E93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02327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浆砌骨架护坡</w:t>
            </w:r>
          </w:p>
        </w:tc>
        <w:tc>
          <w:tcPr>
            <w:tcW w:w="749" w:type="dxa"/>
            <w:noWrap w:val="0"/>
            <w:vAlign w:val="center"/>
          </w:tcPr>
          <w:p w14:paraId="2447F1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1C13A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AF7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30D142">
            <w:pPr>
              <w:pageBreakBefore w:val="0"/>
              <w:kinsoku/>
              <w:wordWrap w:val="0"/>
              <w:bidi w:val="0"/>
              <w:spacing w:line="360" w:lineRule="atLeast"/>
              <w:jc w:val="center"/>
              <w:rPr>
                <w:rFonts w:hint="default" w:ascii="Times New Roman" w:hAnsi="Times New Roman" w:cs="Times New Roman"/>
                <w:szCs w:val="21"/>
                <w:highlight w:val="none"/>
              </w:rPr>
            </w:pPr>
          </w:p>
        </w:tc>
      </w:tr>
      <w:tr w14:paraId="6B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noWrap w:val="0"/>
            <w:vAlign w:val="center"/>
          </w:tcPr>
          <w:p w14:paraId="51C720B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E3AA5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749" w:type="dxa"/>
            <w:noWrap w:val="0"/>
            <w:vAlign w:val="center"/>
          </w:tcPr>
          <w:p w14:paraId="331248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F596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F72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C49984">
            <w:pPr>
              <w:pageBreakBefore w:val="0"/>
              <w:kinsoku/>
              <w:wordWrap w:val="0"/>
              <w:bidi w:val="0"/>
              <w:spacing w:line="360" w:lineRule="atLeast"/>
              <w:jc w:val="center"/>
              <w:rPr>
                <w:rFonts w:hint="default" w:ascii="Times New Roman" w:hAnsi="Times New Roman" w:cs="Times New Roman"/>
                <w:szCs w:val="21"/>
                <w:highlight w:val="none"/>
              </w:rPr>
            </w:pPr>
          </w:p>
        </w:tc>
      </w:tr>
      <w:tr w14:paraId="72C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9CF4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208-4</w:t>
            </w:r>
          </w:p>
        </w:tc>
        <w:tc>
          <w:tcPr>
            <w:tcW w:w="4732" w:type="dxa"/>
            <w:noWrap w:val="0"/>
            <w:vAlign w:val="center"/>
          </w:tcPr>
          <w:p w14:paraId="4A5A18E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混凝土护坡</w:t>
            </w:r>
          </w:p>
        </w:tc>
        <w:tc>
          <w:tcPr>
            <w:tcW w:w="749" w:type="dxa"/>
            <w:noWrap w:val="0"/>
            <w:vAlign w:val="center"/>
          </w:tcPr>
          <w:p w14:paraId="04A84D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4040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277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9D5F1">
            <w:pPr>
              <w:pageBreakBefore w:val="0"/>
              <w:kinsoku/>
              <w:wordWrap w:val="0"/>
              <w:bidi w:val="0"/>
              <w:spacing w:line="360" w:lineRule="atLeast"/>
              <w:jc w:val="center"/>
              <w:rPr>
                <w:rFonts w:hint="default" w:ascii="Times New Roman" w:hAnsi="Times New Roman" w:cs="Times New Roman"/>
                <w:szCs w:val="21"/>
                <w:highlight w:val="none"/>
              </w:rPr>
            </w:pPr>
          </w:p>
        </w:tc>
      </w:tr>
      <w:tr w14:paraId="62DC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8A456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CF289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现浇混凝土满铺护坡</w:t>
            </w:r>
          </w:p>
        </w:tc>
        <w:tc>
          <w:tcPr>
            <w:tcW w:w="749" w:type="dxa"/>
            <w:noWrap w:val="0"/>
            <w:vAlign w:val="center"/>
          </w:tcPr>
          <w:p w14:paraId="1A2D0E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93AB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3D0B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1D4D1E">
            <w:pPr>
              <w:pageBreakBefore w:val="0"/>
              <w:kinsoku/>
              <w:wordWrap w:val="0"/>
              <w:bidi w:val="0"/>
              <w:spacing w:line="360" w:lineRule="atLeast"/>
              <w:jc w:val="center"/>
              <w:rPr>
                <w:rFonts w:hint="default" w:ascii="Times New Roman" w:hAnsi="Times New Roman" w:cs="Times New Roman"/>
                <w:szCs w:val="21"/>
                <w:highlight w:val="none"/>
              </w:rPr>
            </w:pPr>
          </w:p>
        </w:tc>
      </w:tr>
      <w:tr w14:paraId="46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D4D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C1DB5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混凝土预制件满铺护坡</w:t>
            </w:r>
          </w:p>
        </w:tc>
        <w:tc>
          <w:tcPr>
            <w:tcW w:w="749" w:type="dxa"/>
            <w:noWrap w:val="0"/>
            <w:vAlign w:val="center"/>
          </w:tcPr>
          <w:p w14:paraId="5F990E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78A02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5136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B944E">
            <w:pPr>
              <w:pageBreakBefore w:val="0"/>
              <w:kinsoku/>
              <w:wordWrap w:val="0"/>
              <w:bidi w:val="0"/>
              <w:spacing w:line="360" w:lineRule="atLeast"/>
              <w:jc w:val="center"/>
              <w:rPr>
                <w:rFonts w:hint="default" w:ascii="Times New Roman" w:hAnsi="Times New Roman" w:cs="Times New Roman"/>
                <w:szCs w:val="21"/>
                <w:highlight w:val="none"/>
              </w:rPr>
            </w:pPr>
          </w:p>
        </w:tc>
      </w:tr>
      <w:tr w14:paraId="7DB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0B1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B79A4A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现浇混凝土骨架护坡</w:t>
            </w:r>
          </w:p>
        </w:tc>
        <w:tc>
          <w:tcPr>
            <w:tcW w:w="749" w:type="dxa"/>
            <w:noWrap w:val="0"/>
            <w:vAlign w:val="center"/>
          </w:tcPr>
          <w:p w14:paraId="0CC00B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78443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67A6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F1A1E">
            <w:pPr>
              <w:pageBreakBefore w:val="0"/>
              <w:kinsoku/>
              <w:wordWrap w:val="0"/>
              <w:bidi w:val="0"/>
              <w:spacing w:line="360" w:lineRule="atLeast"/>
              <w:jc w:val="center"/>
              <w:rPr>
                <w:rFonts w:hint="default" w:ascii="Times New Roman" w:hAnsi="Times New Roman" w:cs="Times New Roman"/>
                <w:szCs w:val="21"/>
                <w:highlight w:val="none"/>
              </w:rPr>
            </w:pPr>
          </w:p>
        </w:tc>
      </w:tr>
      <w:tr w14:paraId="60D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2397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0761E4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混凝土预制件骨架护坡</w:t>
            </w:r>
          </w:p>
        </w:tc>
        <w:tc>
          <w:tcPr>
            <w:tcW w:w="749" w:type="dxa"/>
            <w:noWrap w:val="0"/>
            <w:vAlign w:val="center"/>
          </w:tcPr>
          <w:p w14:paraId="29023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6D58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63EE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100810">
            <w:pPr>
              <w:pageBreakBefore w:val="0"/>
              <w:kinsoku/>
              <w:wordWrap w:val="0"/>
              <w:bidi w:val="0"/>
              <w:spacing w:line="360" w:lineRule="atLeast"/>
              <w:jc w:val="center"/>
              <w:rPr>
                <w:rFonts w:hint="default" w:ascii="Times New Roman" w:hAnsi="Times New Roman" w:cs="Times New Roman"/>
                <w:szCs w:val="21"/>
                <w:highlight w:val="none"/>
              </w:rPr>
            </w:pPr>
          </w:p>
        </w:tc>
      </w:tr>
      <w:tr w14:paraId="7D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3992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AFA43F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4AF5E1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FDB0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0DA3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B3BA18">
            <w:pPr>
              <w:pageBreakBefore w:val="0"/>
              <w:kinsoku/>
              <w:wordWrap w:val="0"/>
              <w:bidi w:val="0"/>
              <w:spacing w:line="360" w:lineRule="atLeast"/>
              <w:jc w:val="center"/>
              <w:rPr>
                <w:rFonts w:hint="default" w:ascii="Times New Roman" w:hAnsi="Times New Roman" w:cs="Times New Roman"/>
                <w:szCs w:val="21"/>
                <w:highlight w:val="none"/>
              </w:rPr>
            </w:pPr>
          </w:p>
        </w:tc>
      </w:tr>
      <w:tr w14:paraId="2F4D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84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208-5</w:t>
            </w:r>
          </w:p>
        </w:tc>
        <w:tc>
          <w:tcPr>
            <w:tcW w:w="4732" w:type="dxa"/>
            <w:noWrap w:val="0"/>
            <w:vAlign w:val="center"/>
          </w:tcPr>
          <w:p w14:paraId="322577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护面墙</w:t>
            </w:r>
          </w:p>
        </w:tc>
        <w:tc>
          <w:tcPr>
            <w:tcW w:w="749" w:type="dxa"/>
            <w:noWrap w:val="0"/>
            <w:vAlign w:val="center"/>
          </w:tcPr>
          <w:p w14:paraId="138CE8A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A565B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970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F2883">
            <w:pPr>
              <w:pageBreakBefore w:val="0"/>
              <w:kinsoku/>
              <w:wordWrap w:val="0"/>
              <w:bidi w:val="0"/>
              <w:spacing w:line="360" w:lineRule="atLeast"/>
              <w:jc w:val="center"/>
              <w:rPr>
                <w:rFonts w:hint="default" w:ascii="Times New Roman" w:hAnsi="Times New Roman" w:cs="Times New Roman"/>
                <w:szCs w:val="21"/>
                <w:highlight w:val="none"/>
              </w:rPr>
            </w:pPr>
          </w:p>
        </w:tc>
      </w:tr>
      <w:tr w14:paraId="3D7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EAD8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2411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浆砌片（块）石护面墙</w:t>
            </w:r>
          </w:p>
        </w:tc>
        <w:tc>
          <w:tcPr>
            <w:tcW w:w="749" w:type="dxa"/>
            <w:noWrap w:val="0"/>
            <w:vAlign w:val="center"/>
          </w:tcPr>
          <w:p w14:paraId="6FE933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C232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48BC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BB5889">
            <w:pPr>
              <w:pageBreakBefore w:val="0"/>
              <w:kinsoku/>
              <w:wordWrap w:val="0"/>
              <w:bidi w:val="0"/>
              <w:spacing w:line="360" w:lineRule="atLeast"/>
              <w:jc w:val="center"/>
              <w:rPr>
                <w:rFonts w:hint="default" w:ascii="Times New Roman" w:hAnsi="Times New Roman" w:cs="Times New Roman"/>
                <w:szCs w:val="21"/>
                <w:highlight w:val="none"/>
              </w:rPr>
            </w:pPr>
          </w:p>
        </w:tc>
      </w:tr>
      <w:tr w14:paraId="23F2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8BB78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DF1A2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749" w:type="dxa"/>
            <w:noWrap w:val="0"/>
            <w:vAlign w:val="center"/>
          </w:tcPr>
          <w:p w14:paraId="55F28E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5439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8C8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E83B2D">
            <w:pPr>
              <w:pageBreakBefore w:val="0"/>
              <w:kinsoku/>
              <w:wordWrap w:val="0"/>
              <w:bidi w:val="0"/>
              <w:spacing w:line="360" w:lineRule="atLeast"/>
              <w:jc w:val="center"/>
              <w:rPr>
                <w:rFonts w:hint="default" w:ascii="Times New Roman" w:hAnsi="Times New Roman" w:cs="Times New Roman"/>
                <w:szCs w:val="21"/>
                <w:highlight w:val="none"/>
              </w:rPr>
            </w:pPr>
          </w:p>
        </w:tc>
      </w:tr>
      <w:tr w14:paraId="722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E337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47F1B9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预制安装混凝土护面墙</w:t>
            </w:r>
          </w:p>
        </w:tc>
        <w:tc>
          <w:tcPr>
            <w:tcW w:w="749" w:type="dxa"/>
            <w:noWrap w:val="0"/>
            <w:vAlign w:val="center"/>
          </w:tcPr>
          <w:p w14:paraId="7830FE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C3F0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555E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7FCAF2">
            <w:pPr>
              <w:pageBreakBefore w:val="0"/>
              <w:kinsoku/>
              <w:wordWrap w:val="0"/>
              <w:bidi w:val="0"/>
              <w:spacing w:line="360" w:lineRule="atLeast"/>
              <w:jc w:val="center"/>
              <w:rPr>
                <w:rFonts w:hint="default" w:ascii="Times New Roman" w:hAnsi="Times New Roman" w:cs="Times New Roman"/>
                <w:szCs w:val="21"/>
                <w:highlight w:val="none"/>
              </w:rPr>
            </w:pPr>
          </w:p>
        </w:tc>
      </w:tr>
      <w:tr w14:paraId="1A44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2E2C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208-6</w:t>
            </w:r>
          </w:p>
        </w:tc>
        <w:tc>
          <w:tcPr>
            <w:tcW w:w="4732" w:type="dxa"/>
            <w:noWrap w:val="0"/>
            <w:vAlign w:val="center"/>
          </w:tcPr>
          <w:p w14:paraId="6CD9973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6CB6889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52211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0C83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05377">
            <w:pPr>
              <w:pageBreakBefore w:val="0"/>
              <w:kinsoku/>
              <w:wordWrap w:val="0"/>
              <w:bidi w:val="0"/>
              <w:spacing w:line="360" w:lineRule="atLeast"/>
              <w:jc w:val="center"/>
              <w:rPr>
                <w:rFonts w:hint="default" w:ascii="Times New Roman" w:hAnsi="Times New Roman" w:cs="Times New Roman"/>
                <w:szCs w:val="21"/>
                <w:highlight w:val="none"/>
              </w:rPr>
            </w:pPr>
          </w:p>
        </w:tc>
      </w:tr>
      <w:tr w14:paraId="48B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C84E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FAD6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28393D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55989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6C3C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50F60">
            <w:pPr>
              <w:pageBreakBefore w:val="0"/>
              <w:kinsoku/>
              <w:wordWrap w:val="0"/>
              <w:bidi w:val="0"/>
              <w:spacing w:line="360" w:lineRule="atLeast"/>
              <w:jc w:val="center"/>
              <w:rPr>
                <w:rFonts w:hint="default" w:ascii="Times New Roman" w:hAnsi="Times New Roman" w:cs="Times New Roman"/>
                <w:szCs w:val="21"/>
                <w:highlight w:val="none"/>
              </w:rPr>
            </w:pPr>
          </w:p>
        </w:tc>
      </w:tr>
      <w:tr w14:paraId="2A9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BC9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208-7</w:t>
            </w:r>
          </w:p>
        </w:tc>
        <w:tc>
          <w:tcPr>
            <w:tcW w:w="4732" w:type="dxa"/>
            <w:noWrap w:val="0"/>
            <w:vAlign w:val="center"/>
          </w:tcPr>
          <w:p w14:paraId="70634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4635389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5B80B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38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FA31C">
            <w:pPr>
              <w:pageBreakBefore w:val="0"/>
              <w:kinsoku/>
              <w:wordWrap w:val="0"/>
              <w:bidi w:val="0"/>
              <w:spacing w:line="360" w:lineRule="atLeast"/>
              <w:jc w:val="center"/>
              <w:rPr>
                <w:rFonts w:hint="default" w:ascii="Times New Roman" w:hAnsi="Times New Roman" w:cs="Times New Roman"/>
                <w:szCs w:val="21"/>
                <w:highlight w:val="none"/>
              </w:rPr>
            </w:pPr>
          </w:p>
        </w:tc>
      </w:tr>
      <w:tr w14:paraId="62D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605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04AF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22CBE5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360CD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F44A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F1D6D6">
            <w:pPr>
              <w:pageBreakBefore w:val="0"/>
              <w:kinsoku/>
              <w:wordWrap w:val="0"/>
              <w:bidi w:val="0"/>
              <w:spacing w:line="360" w:lineRule="atLeast"/>
              <w:jc w:val="center"/>
              <w:rPr>
                <w:rFonts w:hint="default" w:ascii="Times New Roman" w:hAnsi="Times New Roman" w:cs="Times New Roman"/>
                <w:szCs w:val="21"/>
                <w:highlight w:val="none"/>
              </w:rPr>
            </w:pPr>
          </w:p>
        </w:tc>
      </w:tr>
      <w:tr w14:paraId="164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5CE5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208-8</w:t>
            </w:r>
          </w:p>
        </w:tc>
        <w:tc>
          <w:tcPr>
            <w:tcW w:w="4732" w:type="dxa"/>
            <w:noWrap w:val="0"/>
            <w:vAlign w:val="center"/>
          </w:tcPr>
          <w:p w14:paraId="655209B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坡面柔性防护</w:t>
            </w:r>
          </w:p>
        </w:tc>
        <w:tc>
          <w:tcPr>
            <w:tcW w:w="749" w:type="dxa"/>
            <w:noWrap w:val="0"/>
            <w:vAlign w:val="center"/>
          </w:tcPr>
          <w:p w14:paraId="04EF1AE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9D030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06B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2B05C">
            <w:pPr>
              <w:pageBreakBefore w:val="0"/>
              <w:kinsoku/>
              <w:wordWrap w:val="0"/>
              <w:bidi w:val="0"/>
              <w:spacing w:line="360" w:lineRule="atLeast"/>
              <w:jc w:val="center"/>
              <w:rPr>
                <w:rFonts w:hint="default" w:ascii="Times New Roman" w:hAnsi="Times New Roman" w:cs="Times New Roman"/>
                <w:szCs w:val="21"/>
                <w:highlight w:val="none"/>
              </w:rPr>
            </w:pPr>
          </w:p>
        </w:tc>
      </w:tr>
      <w:tr w14:paraId="45B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6034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7F9C9E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749" w:type="dxa"/>
            <w:noWrap w:val="0"/>
            <w:vAlign w:val="center"/>
          </w:tcPr>
          <w:p w14:paraId="4B7603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2C85F3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1F7B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50A9DF">
            <w:pPr>
              <w:pageBreakBefore w:val="0"/>
              <w:kinsoku/>
              <w:wordWrap w:val="0"/>
              <w:bidi w:val="0"/>
              <w:spacing w:line="360" w:lineRule="atLeast"/>
              <w:jc w:val="center"/>
              <w:rPr>
                <w:rFonts w:hint="default" w:ascii="Times New Roman" w:hAnsi="Times New Roman" w:cs="Times New Roman"/>
                <w:szCs w:val="21"/>
                <w:highlight w:val="none"/>
              </w:rPr>
            </w:pPr>
          </w:p>
        </w:tc>
      </w:tr>
      <w:tr w14:paraId="4A0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0B4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45C935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749" w:type="dxa"/>
            <w:noWrap w:val="0"/>
            <w:vAlign w:val="center"/>
          </w:tcPr>
          <w:p w14:paraId="2431FB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DBDA2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956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CE2B05">
            <w:pPr>
              <w:pageBreakBefore w:val="0"/>
              <w:kinsoku/>
              <w:wordWrap w:val="0"/>
              <w:bidi w:val="0"/>
              <w:spacing w:line="360" w:lineRule="atLeast"/>
              <w:jc w:val="center"/>
              <w:rPr>
                <w:rFonts w:hint="default" w:ascii="Times New Roman" w:hAnsi="Times New Roman" w:cs="Times New Roman"/>
                <w:szCs w:val="21"/>
                <w:highlight w:val="none"/>
              </w:rPr>
            </w:pPr>
          </w:p>
        </w:tc>
      </w:tr>
      <w:tr w14:paraId="1ADE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E6349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w:t>
            </w:r>
          </w:p>
        </w:tc>
        <w:tc>
          <w:tcPr>
            <w:tcW w:w="4732" w:type="dxa"/>
            <w:noWrap w:val="0"/>
            <w:vAlign w:val="center"/>
          </w:tcPr>
          <w:p w14:paraId="4CB2448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挡土墙</w:t>
            </w:r>
          </w:p>
        </w:tc>
        <w:tc>
          <w:tcPr>
            <w:tcW w:w="749" w:type="dxa"/>
            <w:noWrap w:val="0"/>
            <w:vAlign w:val="center"/>
          </w:tcPr>
          <w:p w14:paraId="4A79247D">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BB9C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9721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E7DF86">
            <w:pPr>
              <w:pageBreakBefore w:val="0"/>
              <w:kinsoku/>
              <w:wordWrap w:val="0"/>
              <w:bidi w:val="0"/>
              <w:spacing w:line="360" w:lineRule="atLeast"/>
              <w:jc w:val="center"/>
              <w:rPr>
                <w:rFonts w:hint="default" w:ascii="Times New Roman" w:hAnsi="Times New Roman" w:cs="Times New Roman"/>
                <w:szCs w:val="21"/>
                <w:highlight w:val="none"/>
              </w:rPr>
            </w:pPr>
          </w:p>
        </w:tc>
      </w:tr>
      <w:tr w14:paraId="508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0E2E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209-1</w:t>
            </w:r>
          </w:p>
        </w:tc>
        <w:tc>
          <w:tcPr>
            <w:tcW w:w="4732" w:type="dxa"/>
            <w:noWrap w:val="0"/>
            <w:vAlign w:val="center"/>
          </w:tcPr>
          <w:p w14:paraId="6FE02B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4925B9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2FDC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CE6A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D25BB">
            <w:pPr>
              <w:pageBreakBefore w:val="0"/>
              <w:kinsoku/>
              <w:wordWrap w:val="0"/>
              <w:bidi w:val="0"/>
              <w:spacing w:line="360" w:lineRule="atLeast"/>
              <w:jc w:val="center"/>
              <w:rPr>
                <w:rFonts w:hint="default" w:ascii="Times New Roman" w:hAnsi="Times New Roman" w:cs="Times New Roman"/>
                <w:szCs w:val="21"/>
                <w:highlight w:val="none"/>
              </w:rPr>
            </w:pPr>
          </w:p>
        </w:tc>
      </w:tr>
      <w:tr w14:paraId="1D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86D8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209-2</w:t>
            </w:r>
          </w:p>
        </w:tc>
        <w:tc>
          <w:tcPr>
            <w:tcW w:w="4732" w:type="dxa"/>
            <w:noWrap w:val="0"/>
            <w:vAlign w:val="center"/>
          </w:tcPr>
          <w:p w14:paraId="50F3C3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w:t>
            </w:r>
          </w:p>
        </w:tc>
        <w:tc>
          <w:tcPr>
            <w:tcW w:w="749" w:type="dxa"/>
            <w:noWrap w:val="0"/>
            <w:vAlign w:val="center"/>
          </w:tcPr>
          <w:p w14:paraId="36EC5E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2FCEF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260A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98B863">
            <w:pPr>
              <w:pageBreakBefore w:val="0"/>
              <w:kinsoku/>
              <w:wordWrap w:val="0"/>
              <w:bidi w:val="0"/>
              <w:spacing w:line="360" w:lineRule="atLeast"/>
              <w:jc w:val="center"/>
              <w:rPr>
                <w:rFonts w:hint="default" w:ascii="Times New Roman" w:hAnsi="Times New Roman" w:cs="Times New Roman"/>
                <w:szCs w:val="21"/>
                <w:highlight w:val="none"/>
              </w:rPr>
            </w:pPr>
          </w:p>
        </w:tc>
      </w:tr>
      <w:tr w14:paraId="510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39DBB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DE84B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浆砌片（块）石基础</w:t>
            </w:r>
          </w:p>
        </w:tc>
        <w:tc>
          <w:tcPr>
            <w:tcW w:w="749" w:type="dxa"/>
            <w:noWrap w:val="0"/>
            <w:vAlign w:val="center"/>
          </w:tcPr>
          <w:p w14:paraId="3F781F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9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51E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56BF63">
            <w:pPr>
              <w:pageBreakBefore w:val="0"/>
              <w:kinsoku/>
              <w:wordWrap w:val="0"/>
              <w:bidi w:val="0"/>
              <w:spacing w:line="360" w:lineRule="atLeast"/>
              <w:jc w:val="center"/>
              <w:rPr>
                <w:rFonts w:hint="default" w:ascii="Times New Roman" w:hAnsi="Times New Roman" w:cs="Times New Roman"/>
                <w:szCs w:val="21"/>
                <w:highlight w:val="none"/>
              </w:rPr>
            </w:pPr>
          </w:p>
        </w:tc>
      </w:tr>
      <w:tr w14:paraId="018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F7246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613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32A06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66CB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1B49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3A606">
            <w:pPr>
              <w:pageBreakBefore w:val="0"/>
              <w:kinsoku/>
              <w:wordWrap w:val="0"/>
              <w:bidi w:val="0"/>
              <w:spacing w:line="360" w:lineRule="atLeast"/>
              <w:jc w:val="center"/>
              <w:rPr>
                <w:rFonts w:hint="default" w:ascii="Times New Roman" w:hAnsi="Times New Roman" w:cs="Times New Roman"/>
                <w:szCs w:val="21"/>
                <w:highlight w:val="none"/>
              </w:rPr>
            </w:pPr>
          </w:p>
        </w:tc>
      </w:tr>
      <w:tr w14:paraId="1A0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B1F25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209-3</w:t>
            </w:r>
          </w:p>
        </w:tc>
        <w:tc>
          <w:tcPr>
            <w:tcW w:w="4732" w:type="dxa"/>
            <w:noWrap w:val="0"/>
            <w:vAlign w:val="center"/>
          </w:tcPr>
          <w:p w14:paraId="602B5CA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砌体挡土墙</w:t>
            </w:r>
          </w:p>
        </w:tc>
        <w:tc>
          <w:tcPr>
            <w:tcW w:w="749" w:type="dxa"/>
            <w:noWrap w:val="0"/>
            <w:vAlign w:val="center"/>
          </w:tcPr>
          <w:p w14:paraId="4785DEF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4DD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CC4C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50EE6">
            <w:pPr>
              <w:pageBreakBefore w:val="0"/>
              <w:kinsoku/>
              <w:wordWrap w:val="0"/>
              <w:bidi w:val="0"/>
              <w:spacing w:line="360" w:lineRule="atLeast"/>
              <w:jc w:val="center"/>
              <w:rPr>
                <w:rFonts w:hint="default" w:ascii="Times New Roman" w:hAnsi="Times New Roman" w:cs="Times New Roman"/>
                <w:szCs w:val="21"/>
                <w:highlight w:val="none"/>
              </w:rPr>
            </w:pPr>
          </w:p>
        </w:tc>
      </w:tr>
      <w:tr w14:paraId="636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B1ED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4C74B9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w:t>
            </w:r>
          </w:p>
        </w:tc>
        <w:tc>
          <w:tcPr>
            <w:tcW w:w="749" w:type="dxa"/>
            <w:noWrap w:val="0"/>
            <w:vAlign w:val="center"/>
          </w:tcPr>
          <w:p w14:paraId="15AEFC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247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487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BA4D9">
            <w:pPr>
              <w:pageBreakBefore w:val="0"/>
              <w:kinsoku/>
              <w:wordWrap w:val="0"/>
              <w:bidi w:val="0"/>
              <w:spacing w:line="360" w:lineRule="atLeast"/>
              <w:jc w:val="center"/>
              <w:rPr>
                <w:rFonts w:hint="default" w:ascii="Times New Roman" w:hAnsi="Times New Roman" w:cs="Times New Roman"/>
                <w:szCs w:val="21"/>
                <w:highlight w:val="none"/>
              </w:rPr>
            </w:pPr>
          </w:p>
        </w:tc>
      </w:tr>
      <w:tr w14:paraId="45A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4BD9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209-4</w:t>
            </w:r>
          </w:p>
        </w:tc>
        <w:tc>
          <w:tcPr>
            <w:tcW w:w="4732" w:type="dxa"/>
            <w:noWrap w:val="0"/>
            <w:vAlign w:val="center"/>
          </w:tcPr>
          <w:p w14:paraId="6B9921C9">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干砌挡土墙</w:t>
            </w:r>
          </w:p>
        </w:tc>
        <w:tc>
          <w:tcPr>
            <w:tcW w:w="749" w:type="dxa"/>
            <w:noWrap w:val="0"/>
            <w:vAlign w:val="center"/>
          </w:tcPr>
          <w:p w14:paraId="268A77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30A53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22C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D7CB4">
            <w:pPr>
              <w:pageBreakBefore w:val="0"/>
              <w:kinsoku/>
              <w:wordWrap w:val="0"/>
              <w:bidi w:val="0"/>
              <w:spacing w:line="360" w:lineRule="atLeast"/>
              <w:jc w:val="center"/>
              <w:rPr>
                <w:rFonts w:hint="default" w:ascii="Times New Roman" w:hAnsi="Times New Roman" w:cs="Times New Roman"/>
                <w:szCs w:val="21"/>
                <w:highlight w:val="none"/>
              </w:rPr>
            </w:pPr>
          </w:p>
        </w:tc>
      </w:tr>
      <w:tr w14:paraId="5EF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B4FD9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209-5</w:t>
            </w:r>
          </w:p>
        </w:tc>
        <w:tc>
          <w:tcPr>
            <w:tcW w:w="4732" w:type="dxa"/>
            <w:noWrap w:val="0"/>
            <w:vAlign w:val="center"/>
          </w:tcPr>
          <w:p w14:paraId="3F1527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混凝土挡土墙</w:t>
            </w:r>
          </w:p>
        </w:tc>
        <w:tc>
          <w:tcPr>
            <w:tcW w:w="749" w:type="dxa"/>
            <w:noWrap w:val="0"/>
            <w:vAlign w:val="center"/>
          </w:tcPr>
          <w:p w14:paraId="0D44897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A0234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15A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373205">
            <w:pPr>
              <w:pageBreakBefore w:val="0"/>
              <w:kinsoku/>
              <w:wordWrap w:val="0"/>
              <w:bidi w:val="0"/>
              <w:spacing w:line="360" w:lineRule="atLeast"/>
              <w:jc w:val="center"/>
              <w:rPr>
                <w:rFonts w:hint="default" w:ascii="Times New Roman" w:hAnsi="Times New Roman" w:cs="Times New Roman"/>
                <w:szCs w:val="21"/>
                <w:highlight w:val="none"/>
              </w:rPr>
            </w:pPr>
          </w:p>
        </w:tc>
      </w:tr>
      <w:tr w14:paraId="3A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18F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013E8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DD21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C5D2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DE7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524C">
            <w:pPr>
              <w:pageBreakBefore w:val="0"/>
              <w:kinsoku/>
              <w:wordWrap w:val="0"/>
              <w:bidi w:val="0"/>
              <w:spacing w:line="360" w:lineRule="atLeast"/>
              <w:jc w:val="center"/>
              <w:rPr>
                <w:rFonts w:hint="default" w:ascii="Times New Roman" w:hAnsi="Times New Roman" w:cs="Times New Roman"/>
                <w:szCs w:val="21"/>
                <w:highlight w:val="none"/>
              </w:rPr>
            </w:pPr>
          </w:p>
        </w:tc>
      </w:tr>
      <w:tr w14:paraId="499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E02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D5E75F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FF4BC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FFA5D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3B39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0C7FB1">
            <w:pPr>
              <w:pageBreakBefore w:val="0"/>
              <w:kinsoku/>
              <w:wordWrap w:val="0"/>
              <w:bidi w:val="0"/>
              <w:spacing w:line="360" w:lineRule="atLeast"/>
              <w:jc w:val="center"/>
              <w:rPr>
                <w:rFonts w:hint="default" w:ascii="Times New Roman" w:hAnsi="Times New Roman" w:cs="Times New Roman"/>
                <w:szCs w:val="21"/>
                <w:highlight w:val="none"/>
              </w:rPr>
            </w:pPr>
          </w:p>
        </w:tc>
      </w:tr>
      <w:tr w14:paraId="4B8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FF009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w:t>
            </w:r>
          </w:p>
        </w:tc>
        <w:tc>
          <w:tcPr>
            <w:tcW w:w="4732" w:type="dxa"/>
            <w:noWrap w:val="0"/>
            <w:vAlign w:val="center"/>
          </w:tcPr>
          <w:p w14:paraId="18533DA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锚杆、锚定板挡土墙</w:t>
            </w:r>
          </w:p>
        </w:tc>
        <w:tc>
          <w:tcPr>
            <w:tcW w:w="749" w:type="dxa"/>
            <w:noWrap w:val="0"/>
            <w:vAlign w:val="center"/>
          </w:tcPr>
          <w:p w14:paraId="1912FA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99A75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4A1A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F0C114">
            <w:pPr>
              <w:pageBreakBefore w:val="0"/>
              <w:kinsoku/>
              <w:wordWrap w:val="0"/>
              <w:bidi w:val="0"/>
              <w:spacing w:line="360" w:lineRule="atLeast"/>
              <w:jc w:val="center"/>
              <w:rPr>
                <w:rFonts w:hint="default" w:ascii="Times New Roman" w:hAnsi="Times New Roman" w:cs="Times New Roman"/>
                <w:szCs w:val="21"/>
                <w:highlight w:val="none"/>
              </w:rPr>
            </w:pPr>
          </w:p>
        </w:tc>
      </w:tr>
      <w:tr w14:paraId="4DA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D003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210-1</w:t>
            </w:r>
          </w:p>
        </w:tc>
        <w:tc>
          <w:tcPr>
            <w:tcW w:w="4732" w:type="dxa"/>
            <w:noWrap w:val="0"/>
            <w:vAlign w:val="center"/>
          </w:tcPr>
          <w:p w14:paraId="0F4FA6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锚杆挡土墙</w:t>
            </w:r>
          </w:p>
        </w:tc>
        <w:tc>
          <w:tcPr>
            <w:tcW w:w="749" w:type="dxa"/>
            <w:noWrap w:val="0"/>
            <w:vAlign w:val="center"/>
          </w:tcPr>
          <w:p w14:paraId="575193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6AE548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B8E7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B05">
            <w:pPr>
              <w:pageBreakBefore w:val="0"/>
              <w:kinsoku/>
              <w:wordWrap w:val="0"/>
              <w:bidi w:val="0"/>
              <w:spacing w:line="360" w:lineRule="atLeast"/>
              <w:jc w:val="center"/>
              <w:rPr>
                <w:rFonts w:hint="default" w:ascii="Times New Roman" w:hAnsi="Times New Roman" w:cs="Times New Roman"/>
                <w:szCs w:val="21"/>
                <w:highlight w:val="none"/>
              </w:rPr>
            </w:pPr>
          </w:p>
        </w:tc>
      </w:tr>
      <w:tr w14:paraId="4C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D69C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88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现浇混凝土立柱</w:t>
            </w:r>
          </w:p>
        </w:tc>
        <w:tc>
          <w:tcPr>
            <w:tcW w:w="749" w:type="dxa"/>
            <w:noWrap w:val="0"/>
            <w:vAlign w:val="center"/>
          </w:tcPr>
          <w:p w14:paraId="01420CA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235E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99F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7CA9E8">
            <w:pPr>
              <w:pageBreakBefore w:val="0"/>
              <w:kinsoku/>
              <w:wordWrap w:val="0"/>
              <w:bidi w:val="0"/>
              <w:spacing w:line="360" w:lineRule="atLeast"/>
              <w:jc w:val="center"/>
              <w:rPr>
                <w:rFonts w:hint="default" w:ascii="Times New Roman" w:hAnsi="Times New Roman" w:cs="Times New Roman"/>
                <w:szCs w:val="21"/>
                <w:highlight w:val="none"/>
              </w:rPr>
            </w:pPr>
          </w:p>
        </w:tc>
      </w:tr>
      <w:tr w14:paraId="4F5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ABE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F7F26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混凝土立柱</w:t>
            </w:r>
          </w:p>
        </w:tc>
        <w:tc>
          <w:tcPr>
            <w:tcW w:w="749" w:type="dxa"/>
            <w:noWrap w:val="0"/>
            <w:vAlign w:val="center"/>
          </w:tcPr>
          <w:p w14:paraId="2B2D7F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358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F43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276D4B">
            <w:pPr>
              <w:pageBreakBefore w:val="0"/>
              <w:kinsoku/>
              <w:wordWrap w:val="0"/>
              <w:bidi w:val="0"/>
              <w:spacing w:line="360" w:lineRule="atLeast"/>
              <w:jc w:val="center"/>
              <w:rPr>
                <w:rFonts w:hint="default" w:ascii="Times New Roman" w:hAnsi="Times New Roman" w:cs="Times New Roman"/>
                <w:szCs w:val="21"/>
                <w:highlight w:val="none"/>
              </w:rPr>
            </w:pPr>
          </w:p>
        </w:tc>
      </w:tr>
      <w:tr w14:paraId="52C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EE9A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E8905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混凝土挡板</w:t>
            </w:r>
          </w:p>
        </w:tc>
        <w:tc>
          <w:tcPr>
            <w:tcW w:w="749" w:type="dxa"/>
            <w:noWrap w:val="0"/>
            <w:vAlign w:val="center"/>
          </w:tcPr>
          <w:p w14:paraId="573BE5F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FAD9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43B1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5DB3ED">
            <w:pPr>
              <w:pageBreakBefore w:val="0"/>
              <w:kinsoku/>
              <w:wordWrap w:val="0"/>
              <w:bidi w:val="0"/>
              <w:spacing w:line="360" w:lineRule="atLeast"/>
              <w:jc w:val="center"/>
              <w:rPr>
                <w:rFonts w:hint="default" w:ascii="Times New Roman" w:hAnsi="Times New Roman" w:cs="Times New Roman"/>
                <w:szCs w:val="21"/>
                <w:highlight w:val="none"/>
              </w:rPr>
            </w:pPr>
          </w:p>
        </w:tc>
      </w:tr>
      <w:tr w14:paraId="389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C460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210-2</w:t>
            </w:r>
          </w:p>
        </w:tc>
        <w:tc>
          <w:tcPr>
            <w:tcW w:w="4732" w:type="dxa"/>
            <w:noWrap w:val="0"/>
            <w:vAlign w:val="center"/>
          </w:tcPr>
          <w:p w14:paraId="4D7372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锚定板挡土墙</w:t>
            </w:r>
          </w:p>
        </w:tc>
        <w:tc>
          <w:tcPr>
            <w:tcW w:w="749" w:type="dxa"/>
            <w:noWrap w:val="0"/>
            <w:vAlign w:val="center"/>
          </w:tcPr>
          <w:p w14:paraId="4DA73B4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0937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E46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3B1E61">
            <w:pPr>
              <w:pageBreakBefore w:val="0"/>
              <w:kinsoku/>
              <w:wordWrap w:val="0"/>
              <w:bidi w:val="0"/>
              <w:spacing w:line="360" w:lineRule="atLeast"/>
              <w:jc w:val="center"/>
              <w:rPr>
                <w:rFonts w:hint="default" w:ascii="Times New Roman" w:hAnsi="Times New Roman" w:cs="Times New Roman"/>
                <w:szCs w:val="21"/>
                <w:highlight w:val="none"/>
              </w:rPr>
            </w:pPr>
          </w:p>
        </w:tc>
      </w:tr>
      <w:tr w14:paraId="7E1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FDC5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5E570A5">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现浇混凝土肋柱</w:t>
            </w:r>
          </w:p>
        </w:tc>
        <w:tc>
          <w:tcPr>
            <w:tcW w:w="749" w:type="dxa"/>
            <w:noWrap w:val="0"/>
            <w:vAlign w:val="center"/>
          </w:tcPr>
          <w:p w14:paraId="4603B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01C0B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7EBD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E5BD74">
            <w:pPr>
              <w:pageBreakBefore w:val="0"/>
              <w:kinsoku/>
              <w:wordWrap w:val="0"/>
              <w:bidi w:val="0"/>
              <w:spacing w:line="360" w:lineRule="atLeast"/>
              <w:jc w:val="center"/>
              <w:rPr>
                <w:rFonts w:hint="default" w:ascii="Times New Roman" w:hAnsi="Times New Roman" w:cs="Times New Roman"/>
                <w:szCs w:val="21"/>
                <w:highlight w:val="none"/>
              </w:rPr>
            </w:pPr>
          </w:p>
        </w:tc>
      </w:tr>
      <w:tr w14:paraId="21F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E7C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E64F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预制安装混凝土肋柱</w:t>
            </w:r>
          </w:p>
        </w:tc>
        <w:tc>
          <w:tcPr>
            <w:tcW w:w="749" w:type="dxa"/>
            <w:noWrap w:val="0"/>
            <w:vAlign w:val="center"/>
          </w:tcPr>
          <w:p w14:paraId="6C8629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F28CB5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783C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9E592">
            <w:pPr>
              <w:pageBreakBefore w:val="0"/>
              <w:kinsoku/>
              <w:wordWrap w:val="0"/>
              <w:bidi w:val="0"/>
              <w:spacing w:line="360" w:lineRule="atLeast"/>
              <w:jc w:val="center"/>
              <w:rPr>
                <w:rFonts w:hint="default" w:ascii="Times New Roman" w:hAnsi="Times New Roman" w:cs="Times New Roman"/>
                <w:szCs w:val="21"/>
                <w:highlight w:val="none"/>
              </w:rPr>
            </w:pPr>
          </w:p>
        </w:tc>
      </w:tr>
      <w:tr w14:paraId="30C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5CD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6B2F9C4">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预制安装混凝土锚定板</w:t>
            </w:r>
          </w:p>
        </w:tc>
        <w:tc>
          <w:tcPr>
            <w:tcW w:w="749" w:type="dxa"/>
            <w:noWrap w:val="0"/>
            <w:vAlign w:val="center"/>
          </w:tcPr>
          <w:p w14:paraId="1A16B5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02CC6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EF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75DBC">
            <w:pPr>
              <w:pageBreakBefore w:val="0"/>
              <w:kinsoku/>
              <w:wordWrap w:val="0"/>
              <w:bidi w:val="0"/>
              <w:spacing w:line="360" w:lineRule="atLeast"/>
              <w:jc w:val="center"/>
              <w:rPr>
                <w:rFonts w:hint="default" w:ascii="Times New Roman" w:hAnsi="Times New Roman" w:cs="Times New Roman"/>
                <w:szCs w:val="21"/>
                <w:highlight w:val="none"/>
              </w:rPr>
            </w:pPr>
          </w:p>
        </w:tc>
      </w:tr>
      <w:tr w14:paraId="5D94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60EF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210-3</w:t>
            </w:r>
          </w:p>
        </w:tc>
        <w:tc>
          <w:tcPr>
            <w:tcW w:w="4732" w:type="dxa"/>
            <w:noWrap w:val="0"/>
            <w:vAlign w:val="center"/>
          </w:tcPr>
          <w:p w14:paraId="3E16FE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现浇墙身混凝土、附属部位混凝土</w:t>
            </w:r>
          </w:p>
        </w:tc>
        <w:tc>
          <w:tcPr>
            <w:tcW w:w="749" w:type="dxa"/>
            <w:noWrap w:val="0"/>
            <w:vAlign w:val="center"/>
          </w:tcPr>
          <w:p w14:paraId="2902EBB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4992B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E95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3C364">
            <w:pPr>
              <w:pageBreakBefore w:val="0"/>
              <w:kinsoku/>
              <w:wordWrap w:val="0"/>
              <w:bidi w:val="0"/>
              <w:spacing w:line="360" w:lineRule="atLeast"/>
              <w:jc w:val="center"/>
              <w:rPr>
                <w:rFonts w:hint="default" w:ascii="Times New Roman" w:hAnsi="Times New Roman" w:cs="Times New Roman"/>
                <w:szCs w:val="21"/>
                <w:highlight w:val="none"/>
              </w:rPr>
            </w:pPr>
          </w:p>
        </w:tc>
      </w:tr>
      <w:tr w14:paraId="353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3997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F34EA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现浇混凝土墙身</w:t>
            </w:r>
          </w:p>
        </w:tc>
        <w:tc>
          <w:tcPr>
            <w:tcW w:w="749" w:type="dxa"/>
            <w:noWrap w:val="0"/>
            <w:vAlign w:val="center"/>
          </w:tcPr>
          <w:p w14:paraId="647FE6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4763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DD7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B05E99">
            <w:pPr>
              <w:pageBreakBefore w:val="0"/>
              <w:kinsoku/>
              <w:wordWrap w:val="0"/>
              <w:bidi w:val="0"/>
              <w:spacing w:line="360" w:lineRule="atLeast"/>
              <w:jc w:val="center"/>
              <w:rPr>
                <w:rFonts w:hint="default" w:ascii="Times New Roman" w:hAnsi="Times New Roman" w:cs="Times New Roman"/>
                <w:szCs w:val="21"/>
                <w:highlight w:val="none"/>
              </w:rPr>
            </w:pPr>
          </w:p>
        </w:tc>
      </w:tr>
      <w:tr w14:paraId="391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65FF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1B361F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现浇附属部位混凝土</w:t>
            </w:r>
          </w:p>
        </w:tc>
        <w:tc>
          <w:tcPr>
            <w:tcW w:w="749" w:type="dxa"/>
            <w:noWrap w:val="0"/>
            <w:vAlign w:val="center"/>
          </w:tcPr>
          <w:p w14:paraId="5E1F25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0BB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5B0B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981A6">
            <w:pPr>
              <w:pageBreakBefore w:val="0"/>
              <w:kinsoku/>
              <w:wordWrap w:val="0"/>
              <w:bidi w:val="0"/>
              <w:spacing w:line="360" w:lineRule="atLeast"/>
              <w:jc w:val="center"/>
              <w:rPr>
                <w:rFonts w:hint="default" w:ascii="Times New Roman" w:hAnsi="Times New Roman" w:cs="Times New Roman"/>
                <w:szCs w:val="21"/>
                <w:highlight w:val="none"/>
              </w:rPr>
            </w:pPr>
          </w:p>
        </w:tc>
      </w:tr>
      <w:tr w14:paraId="3F0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81EE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210-4</w:t>
            </w:r>
          </w:p>
        </w:tc>
        <w:tc>
          <w:tcPr>
            <w:tcW w:w="4732" w:type="dxa"/>
            <w:noWrap w:val="0"/>
            <w:vAlign w:val="center"/>
          </w:tcPr>
          <w:p w14:paraId="501CA91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现浇桩基混凝土</w:t>
            </w:r>
          </w:p>
        </w:tc>
        <w:tc>
          <w:tcPr>
            <w:tcW w:w="749" w:type="dxa"/>
            <w:noWrap w:val="0"/>
            <w:vAlign w:val="center"/>
          </w:tcPr>
          <w:p w14:paraId="53F92F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5AF18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B6A3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ED8A1B">
            <w:pPr>
              <w:pageBreakBefore w:val="0"/>
              <w:kinsoku/>
              <w:wordWrap w:val="0"/>
              <w:bidi w:val="0"/>
              <w:spacing w:line="360" w:lineRule="atLeast"/>
              <w:jc w:val="center"/>
              <w:rPr>
                <w:rFonts w:hint="default" w:ascii="Times New Roman" w:hAnsi="Times New Roman" w:cs="Times New Roman"/>
                <w:szCs w:val="21"/>
                <w:highlight w:val="none"/>
              </w:rPr>
            </w:pPr>
          </w:p>
        </w:tc>
      </w:tr>
      <w:tr w14:paraId="7A1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FC3B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210-5</w:t>
            </w:r>
          </w:p>
        </w:tc>
        <w:tc>
          <w:tcPr>
            <w:tcW w:w="4732" w:type="dxa"/>
            <w:noWrap w:val="0"/>
            <w:vAlign w:val="center"/>
          </w:tcPr>
          <w:p w14:paraId="1B2043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锚杆及拉杆</w:t>
            </w:r>
          </w:p>
        </w:tc>
        <w:tc>
          <w:tcPr>
            <w:tcW w:w="749" w:type="dxa"/>
            <w:noWrap w:val="0"/>
            <w:vAlign w:val="center"/>
          </w:tcPr>
          <w:p w14:paraId="7077BB3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1F5A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97B4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0105D6">
            <w:pPr>
              <w:pageBreakBefore w:val="0"/>
              <w:kinsoku/>
              <w:wordWrap w:val="0"/>
              <w:bidi w:val="0"/>
              <w:spacing w:line="360" w:lineRule="atLeast"/>
              <w:jc w:val="center"/>
              <w:rPr>
                <w:rFonts w:hint="default" w:ascii="Times New Roman" w:hAnsi="Times New Roman" w:cs="Times New Roman"/>
                <w:szCs w:val="21"/>
                <w:highlight w:val="none"/>
              </w:rPr>
            </w:pPr>
          </w:p>
        </w:tc>
      </w:tr>
      <w:tr w14:paraId="730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B99D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2ADE9B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4ACC61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CAE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DDA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1EDEA4">
            <w:pPr>
              <w:pageBreakBefore w:val="0"/>
              <w:kinsoku/>
              <w:wordWrap w:val="0"/>
              <w:bidi w:val="0"/>
              <w:spacing w:line="360" w:lineRule="atLeast"/>
              <w:jc w:val="center"/>
              <w:rPr>
                <w:rFonts w:hint="default" w:ascii="Times New Roman" w:hAnsi="Times New Roman" w:cs="Times New Roman"/>
                <w:szCs w:val="21"/>
                <w:highlight w:val="none"/>
              </w:rPr>
            </w:pPr>
          </w:p>
        </w:tc>
      </w:tr>
      <w:tr w14:paraId="217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A90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128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拉杆</w:t>
            </w:r>
          </w:p>
        </w:tc>
        <w:tc>
          <w:tcPr>
            <w:tcW w:w="749" w:type="dxa"/>
            <w:noWrap w:val="0"/>
            <w:vAlign w:val="center"/>
          </w:tcPr>
          <w:p w14:paraId="42436B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62164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103D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97F11">
            <w:pPr>
              <w:pageBreakBefore w:val="0"/>
              <w:kinsoku/>
              <w:wordWrap w:val="0"/>
              <w:bidi w:val="0"/>
              <w:spacing w:line="360" w:lineRule="atLeast"/>
              <w:jc w:val="center"/>
              <w:rPr>
                <w:rFonts w:hint="default" w:ascii="Times New Roman" w:hAnsi="Times New Roman" w:cs="Times New Roman"/>
                <w:szCs w:val="21"/>
                <w:highlight w:val="none"/>
              </w:rPr>
            </w:pPr>
          </w:p>
        </w:tc>
      </w:tr>
      <w:tr w14:paraId="77D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117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210-6</w:t>
            </w:r>
          </w:p>
        </w:tc>
        <w:tc>
          <w:tcPr>
            <w:tcW w:w="4732" w:type="dxa"/>
            <w:noWrap w:val="0"/>
            <w:vAlign w:val="center"/>
          </w:tcPr>
          <w:p w14:paraId="70E2E4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32BA47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1ABBD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7BC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340CBE">
            <w:pPr>
              <w:pageBreakBefore w:val="0"/>
              <w:kinsoku/>
              <w:wordWrap w:val="0"/>
              <w:bidi w:val="0"/>
              <w:spacing w:line="360" w:lineRule="atLeast"/>
              <w:jc w:val="center"/>
              <w:rPr>
                <w:rFonts w:hint="default" w:ascii="Times New Roman" w:hAnsi="Times New Roman" w:cs="Times New Roman"/>
                <w:szCs w:val="21"/>
                <w:highlight w:val="none"/>
              </w:rPr>
            </w:pPr>
          </w:p>
        </w:tc>
      </w:tr>
      <w:tr w14:paraId="643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53469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211</w:t>
            </w:r>
          </w:p>
        </w:tc>
        <w:tc>
          <w:tcPr>
            <w:tcW w:w="4732" w:type="dxa"/>
            <w:noWrap w:val="0"/>
            <w:vAlign w:val="center"/>
          </w:tcPr>
          <w:p w14:paraId="28859C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加筋土挡土墙</w:t>
            </w:r>
          </w:p>
        </w:tc>
        <w:tc>
          <w:tcPr>
            <w:tcW w:w="749" w:type="dxa"/>
            <w:noWrap w:val="0"/>
            <w:vAlign w:val="center"/>
          </w:tcPr>
          <w:p w14:paraId="33E1F6C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041DB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7236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96C79">
            <w:pPr>
              <w:pageBreakBefore w:val="0"/>
              <w:kinsoku/>
              <w:wordWrap w:val="0"/>
              <w:bidi w:val="0"/>
              <w:spacing w:line="360" w:lineRule="atLeast"/>
              <w:jc w:val="center"/>
              <w:rPr>
                <w:rFonts w:hint="default" w:ascii="Times New Roman" w:hAnsi="Times New Roman" w:cs="Times New Roman"/>
                <w:szCs w:val="21"/>
                <w:highlight w:val="none"/>
              </w:rPr>
            </w:pPr>
          </w:p>
        </w:tc>
      </w:tr>
      <w:tr w14:paraId="70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6B5A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211-1</w:t>
            </w:r>
          </w:p>
        </w:tc>
        <w:tc>
          <w:tcPr>
            <w:tcW w:w="4732" w:type="dxa"/>
            <w:noWrap w:val="0"/>
            <w:vAlign w:val="center"/>
          </w:tcPr>
          <w:p w14:paraId="58CF56B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基础</w:t>
            </w:r>
          </w:p>
        </w:tc>
        <w:tc>
          <w:tcPr>
            <w:tcW w:w="749" w:type="dxa"/>
            <w:noWrap w:val="0"/>
            <w:vAlign w:val="center"/>
          </w:tcPr>
          <w:p w14:paraId="4F3DD2A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BA99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7C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A9807">
            <w:pPr>
              <w:pageBreakBefore w:val="0"/>
              <w:kinsoku/>
              <w:wordWrap w:val="0"/>
              <w:bidi w:val="0"/>
              <w:spacing w:line="360" w:lineRule="atLeast"/>
              <w:jc w:val="center"/>
              <w:rPr>
                <w:rFonts w:hint="default" w:ascii="Times New Roman" w:hAnsi="Times New Roman" w:cs="Times New Roman"/>
                <w:szCs w:val="21"/>
                <w:highlight w:val="none"/>
              </w:rPr>
            </w:pPr>
          </w:p>
        </w:tc>
      </w:tr>
      <w:tr w14:paraId="1A6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64EB0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D31983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浆砌片石基础</w:t>
            </w:r>
          </w:p>
        </w:tc>
        <w:tc>
          <w:tcPr>
            <w:tcW w:w="749" w:type="dxa"/>
            <w:noWrap w:val="0"/>
            <w:vAlign w:val="center"/>
          </w:tcPr>
          <w:p w14:paraId="3AE74F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7D99B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54ED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E1146">
            <w:pPr>
              <w:pageBreakBefore w:val="0"/>
              <w:kinsoku/>
              <w:wordWrap w:val="0"/>
              <w:bidi w:val="0"/>
              <w:spacing w:line="360" w:lineRule="atLeast"/>
              <w:jc w:val="center"/>
              <w:rPr>
                <w:rFonts w:hint="default" w:ascii="Times New Roman" w:hAnsi="Times New Roman" w:cs="Times New Roman"/>
                <w:szCs w:val="21"/>
                <w:highlight w:val="none"/>
              </w:rPr>
            </w:pPr>
          </w:p>
        </w:tc>
      </w:tr>
      <w:tr w14:paraId="1B2B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FB9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D4EA7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0828A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52C7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985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A71618">
            <w:pPr>
              <w:pageBreakBefore w:val="0"/>
              <w:kinsoku/>
              <w:wordWrap w:val="0"/>
              <w:bidi w:val="0"/>
              <w:spacing w:line="360" w:lineRule="atLeast"/>
              <w:jc w:val="center"/>
              <w:rPr>
                <w:rFonts w:hint="default" w:ascii="Times New Roman" w:hAnsi="Times New Roman" w:cs="Times New Roman"/>
                <w:szCs w:val="21"/>
                <w:highlight w:val="none"/>
              </w:rPr>
            </w:pPr>
          </w:p>
        </w:tc>
      </w:tr>
      <w:tr w14:paraId="4A6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8877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211-2</w:t>
            </w:r>
          </w:p>
        </w:tc>
        <w:tc>
          <w:tcPr>
            <w:tcW w:w="4732" w:type="dxa"/>
            <w:noWrap w:val="0"/>
            <w:vAlign w:val="center"/>
          </w:tcPr>
          <w:p w14:paraId="722D97A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混凝土帽石</w:t>
            </w:r>
          </w:p>
        </w:tc>
        <w:tc>
          <w:tcPr>
            <w:tcW w:w="749" w:type="dxa"/>
            <w:noWrap w:val="0"/>
            <w:vAlign w:val="center"/>
          </w:tcPr>
          <w:p w14:paraId="0B3B5D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8D5E3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FAE0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5508CB">
            <w:pPr>
              <w:pageBreakBefore w:val="0"/>
              <w:kinsoku/>
              <w:wordWrap w:val="0"/>
              <w:bidi w:val="0"/>
              <w:spacing w:line="360" w:lineRule="atLeast"/>
              <w:jc w:val="center"/>
              <w:rPr>
                <w:rFonts w:hint="default" w:ascii="Times New Roman" w:hAnsi="Times New Roman" w:cs="Times New Roman"/>
                <w:szCs w:val="21"/>
                <w:highlight w:val="none"/>
              </w:rPr>
            </w:pPr>
          </w:p>
        </w:tc>
      </w:tr>
      <w:tr w14:paraId="42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0291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25B236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现浇帽石混凝土</w:t>
            </w:r>
          </w:p>
        </w:tc>
        <w:tc>
          <w:tcPr>
            <w:tcW w:w="749" w:type="dxa"/>
            <w:noWrap w:val="0"/>
            <w:vAlign w:val="center"/>
          </w:tcPr>
          <w:p w14:paraId="5651E3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ADBF6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DD1F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F022CB">
            <w:pPr>
              <w:pageBreakBefore w:val="0"/>
              <w:kinsoku/>
              <w:wordWrap w:val="0"/>
              <w:bidi w:val="0"/>
              <w:spacing w:line="360" w:lineRule="atLeast"/>
              <w:jc w:val="center"/>
              <w:rPr>
                <w:rFonts w:hint="default" w:ascii="Times New Roman" w:hAnsi="Times New Roman" w:cs="Times New Roman"/>
                <w:szCs w:val="21"/>
                <w:highlight w:val="none"/>
              </w:rPr>
            </w:pPr>
          </w:p>
        </w:tc>
      </w:tr>
      <w:tr w14:paraId="40A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BBEB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211-3</w:t>
            </w:r>
          </w:p>
        </w:tc>
        <w:tc>
          <w:tcPr>
            <w:tcW w:w="4732" w:type="dxa"/>
            <w:noWrap w:val="0"/>
            <w:vAlign w:val="center"/>
          </w:tcPr>
          <w:p w14:paraId="34F521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预制安装混凝土墙面板</w:t>
            </w:r>
          </w:p>
        </w:tc>
        <w:tc>
          <w:tcPr>
            <w:tcW w:w="749" w:type="dxa"/>
            <w:noWrap w:val="0"/>
            <w:vAlign w:val="center"/>
          </w:tcPr>
          <w:p w14:paraId="177AE8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4887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F9E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819D2A">
            <w:pPr>
              <w:pageBreakBefore w:val="0"/>
              <w:kinsoku/>
              <w:wordWrap w:val="0"/>
              <w:bidi w:val="0"/>
              <w:spacing w:line="360" w:lineRule="atLeast"/>
              <w:jc w:val="center"/>
              <w:rPr>
                <w:rFonts w:hint="default" w:ascii="Times New Roman" w:hAnsi="Times New Roman" w:cs="Times New Roman"/>
                <w:szCs w:val="21"/>
                <w:highlight w:val="none"/>
              </w:rPr>
            </w:pPr>
          </w:p>
        </w:tc>
      </w:tr>
      <w:tr w14:paraId="322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15F5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211-4</w:t>
            </w:r>
          </w:p>
        </w:tc>
        <w:tc>
          <w:tcPr>
            <w:tcW w:w="4732" w:type="dxa"/>
            <w:noWrap w:val="0"/>
            <w:vAlign w:val="center"/>
          </w:tcPr>
          <w:p w14:paraId="72E78A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加筋带</w:t>
            </w:r>
          </w:p>
        </w:tc>
        <w:tc>
          <w:tcPr>
            <w:tcW w:w="749" w:type="dxa"/>
            <w:noWrap w:val="0"/>
            <w:vAlign w:val="center"/>
          </w:tcPr>
          <w:p w14:paraId="788D3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B58D7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4F9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FA05F8">
            <w:pPr>
              <w:pageBreakBefore w:val="0"/>
              <w:kinsoku/>
              <w:wordWrap w:val="0"/>
              <w:bidi w:val="0"/>
              <w:spacing w:line="360" w:lineRule="atLeast"/>
              <w:jc w:val="center"/>
              <w:rPr>
                <w:rFonts w:hint="default" w:ascii="Times New Roman" w:hAnsi="Times New Roman" w:cs="Times New Roman"/>
                <w:szCs w:val="21"/>
                <w:highlight w:val="none"/>
              </w:rPr>
            </w:pPr>
          </w:p>
        </w:tc>
      </w:tr>
      <w:tr w14:paraId="5F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D2F7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CAC6CD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扁钢带</w:t>
            </w:r>
          </w:p>
        </w:tc>
        <w:tc>
          <w:tcPr>
            <w:tcW w:w="749" w:type="dxa"/>
            <w:noWrap w:val="0"/>
            <w:vAlign w:val="center"/>
          </w:tcPr>
          <w:p w14:paraId="6F6548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1CB66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27F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D1089D">
            <w:pPr>
              <w:pageBreakBefore w:val="0"/>
              <w:kinsoku/>
              <w:wordWrap w:val="0"/>
              <w:bidi w:val="0"/>
              <w:spacing w:line="360" w:lineRule="atLeast"/>
              <w:jc w:val="center"/>
              <w:rPr>
                <w:rFonts w:hint="default" w:ascii="Times New Roman" w:hAnsi="Times New Roman" w:cs="Times New Roman"/>
                <w:szCs w:val="21"/>
                <w:highlight w:val="none"/>
              </w:rPr>
            </w:pPr>
          </w:p>
        </w:tc>
      </w:tr>
      <w:tr w14:paraId="2AE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9572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D3180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钢筋混凝土带</w:t>
            </w:r>
          </w:p>
        </w:tc>
        <w:tc>
          <w:tcPr>
            <w:tcW w:w="749" w:type="dxa"/>
            <w:noWrap w:val="0"/>
            <w:vAlign w:val="center"/>
          </w:tcPr>
          <w:p w14:paraId="3DCAA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A2A4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CA4B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85C095">
            <w:pPr>
              <w:pageBreakBefore w:val="0"/>
              <w:kinsoku/>
              <w:wordWrap w:val="0"/>
              <w:bidi w:val="0"/>
              <w:spacing w:line="360" w:lineRule="atLeast"/>
              <w:jc w:val="center"/>
              <w:rPr>
                <w:rFonts w:hint="default" w:ascii="Times New Roman" w:hAnsi="Times New Roman" w:cs="Times New Roman"/>
                <w:szCs w:val="21"/>
                <w:highlight w:val="none"/>
              </w:rPr>
            </w:pPr>
          </w:p>
        </w:tc>
      </w:tr>
      <w:tr w14:paraId="29E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045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D8F470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塑钢复合带</w:t>
            </w:r>
          </w:p>
        </w:tc>
        <w:tc>
          <w:tcPr>
            <w:tcW w:w="749" w:type="dxa"/>
            <w:noWrap w:val="0"/>
            <w:vAlign w:val="center"/>
          </w:tcPr>
          <w:p w14:paraId="2E8B0B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91B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C851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27738">
            <w:pPr>
              <w:pageBreakBefore w:val="0"/>
              <w:kinsoku/>
              <w:wordWrap w:val="0"/>
              <w:bidi w:val="0"/>
              <w:spacing w:line="360" w:lineRule="atLeast"/>
              <w:jc w:val="center"/>
              <w:rPr>
                <w:rFonts w:hint="default" w:ascii="Times New Roman" w:hAnsi="Times New Roman" w:cs="Times New Roman"/>
                <w:szCs w:val="21"/>
                <w:highlight w:val="none"/>
              </w:rPr>
            </w:pPr>
          </w:p>
        </w:tc>
      </w:tr>
      <w:tr w14:paraId="50A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3266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98DC6D4">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塑料土工格栅</w:t>
            </w:r>
          </w:p>
        </w:tc>
        <w:tc>
          <w:tcPr>
            <w:tcW w:w="749" w:type="dxa"/>
            <w:noWrap w:val="0"/>
            <w:vAlign w:val="center"/>
          </w:tcPr>
          <w:p w14:paraId="422144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FA7C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37F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E9C493">
            <w:pPr>
              <w:pageBreakBefore w:val="0"/>
              <w:kinsoku/>
              <w:wordWrap w:val="0"/>
              <w:bidi w:val="0"/>
              <w:spacing w:line="360" w:lineRule="atLeast"/>
              <w:jc w:val="center"/>
              <w:rPr>
                <w:rFonts w:hint="default" w:ascii="Times New Roman" w:hAnsi="Times New Roman" w:cs="Times New Roman"/>
                <w:szCs w:val="21"/>
                <w:highlight w:val="none"/>
              </w:rPr>
            </w:pPr>
          </w:p>
        </w:tc>
      </w:tr>
      <w:tr w14:paraId="581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427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462DECCB">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聚丙烯土工带</w:t>
            </w:r>
          </w:p>
        </w:tc>
        <w:tc>
          <w:tcPr>
            <w:tcW w:w="749" w:type="dxa"/>
            <w:noWrap w:val="0"/>
            <w:vAlign w:val="center"/>
          </w:tcPr>
          <w:p w14:paraId="6F32CE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7A01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7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19E83">
            <w:pPr>
              <w:pageBreakBefore w:val="0"/>
              <w:kinsoku/>
              <w:wordWrap w:val="0"/>
              <w:bidi w:val="0"/>
              <w:spacing w:line="360" w:lineRule="atLeast"/>
              <w:jc w:val="center"/>
              <w:rPr>
                <w:rFonts w:hint="default" w:ascii="Times New Roman" w:hAnsi="Times New Roman" w:cs="Times New Roman"/>
                <w:szCs w:val="21"/>
                <w:highlight w:val="none"/>
              </w:rPr>
            </w:pPr>
          </w:p>
        </w:tc>
      </w:tr>
      <w:tr w14:paraId="70E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6B9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211-5</w:t>
            </w:r>
          </w:p>
        </w:tc>
        <w:tc>
          <w:tcPr>
            <w:tcW w:w="4732" w:type="dxa"/>
            <w:noWrap w:val="0"/>
            <w:vAlign w:val="center"/>
          </w:tcPr>
          <w:p w14:paraId="401A38A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7BBD19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E199F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35DE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4E06FD">
            <w:pPr>
              <w:pageBreakBefore w:val="0"/>
              <w:kinsoku/>
              <w:wordWrap w:val="0"/>
              <w:bidi w:val="0"/>
              <w:spacing w:line="360" w:lineRule="atLeast"/>
              <w:jc w:val="center"/>
              <w:rPr>
                <w:rFonts w:hint="default" w:ascii="Times New Roman" w:hAnsi="Times New Roman" w:cs="Times New Roman"/>
                <w:szCs w:val="21"/>
                <w:highlight w:val="none"/>
              </w:rPr>
            </w:pPr>
          </w:p>
        </w:tc>
      </w:tr>
      <w:tr w14:paraId="7CB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351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w:t>
            </w:r>
          </w:p>
        </w:tc>
        <w:tc>
          <w:tcPr>
            <w:tcW w:w="4732" w:type="dxa"/>
            <w:noWrap w:val="0"/>
            <w:vAlign w:val="center"/>
          </w:tcPr>
          <w:p w14:paraId="330F2D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喷射混凝土和喷浆边坡防护</w:t>
            </w:r>
          </w:p>
        </w:tc>
        <w:tc>
          <w:tcPr>
            <w:tcW w:w="749" w:type="dxa"/>
            <w:noWrap w:val="0"/>
            <w:vAlign w:val="center"/>
          </w:tcPr>
          <w:p w14:paraId="61C2A51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2255F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EF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ABDA7">
            <w:pPr>
              <w:pageBreakBefore w:val="0"/>
              <w:kinsoku/>
              <w:wordWrap w:val="0"/>
              <w:bidi w:val="0"/>
              <w:spacing w:line="360" w:lineRule="atLeast"/>
              <w:jc w:val="center"/>
              <w:rPr>
                <w:rFonts w:hint="default" w:ascii="Times New Roman" w:hAnsi="Times New Roman" w:cs="Times New Roman"/>
                <w:szCs w:val="21"/>
                <w:highlight w:val="none"/>
              </w:rPr>
            </w:pPr>
          </w:p>
        </w:tc>
      </w:tr>
      <w:tr w14:paraId="597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8716F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212-1</w:t>
            </w:r>
          </w:p>
        </w:tc>
        <w:tc>
          <w:tcPr>
            <w:tcW w:w="4732" w:type="dxa"/>
            <w:noWrap w:val="0"/>
            <w:vAlign w:val="center"/>
          </w:tcPr>
          <w:p w14:paraId="384CA0F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挂网土工格栅喷浆防护边坡</w:t>
            </w:r>
          </w:p>
        </w:tc>
        <w:tc>
          <w:tcPr>
            <w:tcW w:w="749" w:type="dxa"/>
            <w:noWrap w:val="0"/>
            <w:vAlign w:val="center"/>
          </w:tcPr>
          <w:p w14:paraId="08556E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6B25E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CE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CA598">
            <w:pPr>
              <w:pageBreakBefore w:val="0"/>
              <w:kinsoku/>
              <w:wordWrap w:val="0"/>
              <w:bidi w:val="0"/>
              <w:spacing w:line="360" w:lineRule="atLeast"/>
              <w:jc w:val="center"/>
              <w:rPr>
                <w:rFonts w:hint="default" w:ascii="Times New Roman" w:hAnsi="Times New Roman" w:cs="Times New Roman"/>
                <w:szCs w:val="21"/>
                <w:highlight w:val="none"/>
              </w:rPr>
            </w:pPr>
          </w:p>
        </w:tc>
      </w:tr>
      <w:tr w14:paraId="5FF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328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4BF1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喷浆防护边坡</w:t>
            </w:r>
          </w:p>
        </w:tc>
        <w:tc>
          <w:tcPr>
            <w:tcW w:w="749" w:type="dxa"/>
            <w:noWrap w:val="0"/>
            <w:vAlign w:val="center"/>
          </w:tcPr>
          <w:p w14:paraId="149048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31DF4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2A7B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54CFE6">
            <w:pPr>
              <w:pageBreakBefore w:val="0"/>
              <w:kinsoku/>
              <w:wordWrap w:val="0"/>
              <w:bidi w:val="0"/>
              <w:spacing w:line="360" w:lineRule="atLeast"/>
              <w:jc w:val="center"/>
              <w:rPr>
                <w:rFonts w:hint="default" w:ascii="Times New Roman" w:hAnsi="Times New Roman" w:cs="Times New Roman"/>
                <w:szCs w:val="21"/>
                <w:highlight w:val="none"/>
              </w:rPr>
            </w:pPr>
          </w:p>
        </w:tc>
      </w:tr>
      <w:tr w14:paraId="15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AEE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39E71D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74091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9658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34A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B657FE">
            <w:pPr>
              <w:pageBreakBefore w:val="0"/>
              <w:kinsoku/>
              <w:wordWrap w:val="0"/>
              <w:bidi w:val="0"/>
              <w:spacing w:line="360" w:lineRule="atLeast"/>
              <w:jc w:val="center"/>
              <w:rPr>
                <w:rFonts w:hint="default" w:ascii="Times New Roman" w:hAnsi="Times New Roman" w:cs="Times New Roman"/>
                <w:szCs w:val="21"/>
                <w:highlight w:val="none"/>
              </w:rPr>
            </w:pPr>
          </w:p>
        </w:tc>
      </w:tr>
      <w:tr w14:paraId="47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AF1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346B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BBFEE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9F1A3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BBF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0E6FB8">
            <w:pPr>
              <w:pageBreakBefore w:val="0"/>
              <w:kinsoku/>
              <w:wordWrap w:val="0"/>
              <w:bidi w:val="0"/>
              <w:spacing w:line="360" w:lineRule="atLeast"/>
              <w:jc w:val="center"/>
              <w:rPr>
                <w:rFonts w:hint="default" w:ascii="Times New Roman" w:hAnsi="Times New Roman" w:cs="Times New Roman"/>
                <w:szCs w:val="21"/>
                <w:highlight w:val="none"/>
              </w:rPr>
            </w:pPr>
          </w:p>
        </w:tc>
      </w:tr>
      <w:tr w14:paraId="23E4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06B8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4B3EBA3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7F2DD9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8287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FD7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1A9695">
            <w:pPr>
              <w:pageBreakBefore w:val="0"/>
              <w:kinsoku/>
              <w:wordWrap w:val="0"/>
              <w:bidi w:val="0"/>
              <w:spacing w:line="360" w:lineRule="atLeast"/>
              <w:jc w:val="center"/>
              <w:rPr>
                <w:rFonts w:hint="default" w:ascii="Times New Roman" w:hAnsi="Times New Roman" w:cs="Times New Roman"/>
                <w:szCs w:val="21"/>
                <w:highlight w:val="none"/>
              </w:rPr>
            </w:pPr>
          </w:p>
        </w:tc>
      </w:tr>
      <w:tr w14:paraId="2B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289A9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212-2</w:t>
            </w:r>
          </w:p>
        </w:tc>
        <w:tc>
          <w:tcPr>
            <w:tcW w:w="4732" w:type="dxa"/>
            <w:noWrap w:val="0"/>
            <w:vAlign w:val="center"/>
          </w:tcPr>
          <w:p w14:paraId="23BAF6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挂网锚喷混凝土防护边坡（全坡面）</w:t>
            </w:r>
          </w:p>
        </w:tc>
        <w:tc>
          <w:tcPr>
            <w:tcW w:w="749" w:type="dxa"/>
            <w:noWrap w:val="0"/>
            <w:vAlign w:val="center"/>
          </w:tcPr>
          <w:p w14:paraId="3D95DAE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C3D0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5E4F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0DDFCA">
            <w:pPr>
              <w:pageBreakBefore w:val="0"/>
              <w:kinsoku/>
              <w:wordWrap w:val="0"/>
              <w:bidi w:val="0"/>
              <w:spacing w:line="360" w:lineRule="atLeast"/>
              <w:jc w:val="center"/>
              <w:rPr>
                <w:rFonts w:hint="default" w:ascii="Times New Roman" w:hAnsi="Times New Roman" w:cs="Times New Roman"/>
                <w:szCs w:val="21"/>
                <w:highlight w:val="none"/>
              </w:rPr>
            </w:pPr>
          </w:p>
        </w:tc>
      </w:tr>
      <w:tr w14:paraId="5AC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3F1E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DD7C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喷射混凝土防护边坡</w:t>
            </w:r>
          </w:p>
        </w:tc>
        <w:tc>
          <w:tcPr>
            <w:tcW w:w="749" w:type="dxa"/>
            <w:noWrap w:val="0"/>
            <w:vAlign w:val="center"/>
          </w:tcPr>
          <w:p w14:paraId="5CCDF1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FCE1A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8E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7EB3A5">
            <w:pPr>
              <w:pageBreakBefore w:val="0"/>
              <w:kinsoku/>
              <w:wordWrap w:val="0"/>
              <w:bidi w:val="0"/>
              <w:spacing w:line="360" w:lineRule="atLeast"/>
              <w:jc w:val="center"/>
              <w:rPr>
                <w:rFonts w:hint="default" w:ascii="Times New Roman" w:hAnsi="Times New Roman" w:cs="Times New Roman"/>
                <w:szCs w:val="21"/>
                <w:highlight w:val="none"/>
              </w:rPr>
            </w:pPr>
          </w:p>
        </w:tc>
      </w:tr>
      <w:tr w14:paraId="52E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DD68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CC084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1C2765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56BE0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A624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500EF">
            <w:pPr>
              <w:pageBreakBefore w:val="0"/>
              <w:kinsoku/>
              <w:wordWrap w:val="0"/>
              <w:bidi w:val="0"/>
              <w:spacing w:line="360" w:lineRule="atLeast"/>
              <w:jc w:val="center"/>
              <w:rPr>
                <w:rFonts w:hint="default" w:ascii="Times New Roman" w:hAnsi="Times New Roman" w:cs="Times New Roman"/>
                <w:szCs w:val="21"/>
                <w:highlight w:val="none"/>
              </w:rPr>
            </w:pPr>
          </w:p>
        </w:tc>
      </w:tr>
      <w:tr w14:paraId="42B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5F91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D29D2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128E21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271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87A9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5EFD37">
            <w:pPr>
              <w:pageBreakBefore w:val="0"/>
              <w:kinsoku/>
              <w:wordWrap w:val="0"/>
              <w:bidi w:val="0"/>
              <w:spacing w:line="360" w:lineRule="atLeast"/>
              <w:jc w:val="center"/>
              <w:rPr>
                <w:rFonts w:hint="default" w:ascii="Times New Roman" w:hAnsi="Times New Roman" w:cs="Times New Roman"/>
                <w:szCs w:val="21"/>
                <w:highlight w:val="none"/>
              </w:rPr>
            </w:pPr>
          </w:p>
        </w:tc>
      </w:tr>
      <w:tr w14:paraId="08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B25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87889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A0D26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A50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CE1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53C164">
            <w:pPr>
              <w:pageBreakBefore w:val="0"/>
              <w:kinsoku/>
              <w:wordWrap w:val="0"/>
              <w:bidi w:val="0"/>
              <w:spacing w:line="360" w:lineRule="atLeast"/>
              <w:jc w:val="center"/>
              <w:rPr>
                <w:rFonts w:hint="default" w:ascii="Times New Roman" w:hAnsi="Times New Roman" w:cs="Times New Roman"/>
                <w:szCs w:val="21"/>
                <w:highlight w:val="none"/>
              </w:rPr>
            </w:pPr>
          </w:p>
        </w:tc>
      </w:tr>
      <w:tr w14:paraId="486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AF8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26FA1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1D83BA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9B372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F622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79A506">
            <w:pPr>
              <w:pageBreakBefore w:val="0"/>
              <w:kinsoku/>
              <w:wordWrap w:val="0"/>
              <w:bidi w:val="0"/>
              <w:spacing w:line="360" w:lineRule="atLeast"/>
              <w:jc w:val="center"/>
              <w:rPr>
                <w:rFonts w:hint="default" w:ascii="Times New Roman" w:hAnsi="Times New Roman" w:cs="Times New Roman"/>
                <w:szCs w:val="21"/>
                <w:highlight w:val="none"/>
              </w:rPr>
            </w:pPr>
          </w:p>
        </w:tc>
      </w:tr>
      <w:tr w14:paraId="288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2D61F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212-3</w:t>
            </w:r>
          </w:p>
        </w:tc>
        <w:tc>
          <w:tcPr>
            <w:tcW w:w="4732" w:type="dxa"/>
            <w:noWrap w:val="0"/>
            <w:vAlign w:val="center"/>
          </w:tcPr>
          <w:p w14:paraId="525CC49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坡面防护</w:t>
            </w:r>
          </w:p>
        </w:tc>
        <w:tc>
          <w:tcPr>
            <w:tcW w:w="749" w:type="dxa"/>
            <w:noWrap w:val="0"/>
            <w:vAlign w:val="center"/>
          </w:tcPr>
          <w:p w14:paraId="7DCB9BD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72521B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F5AE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32421B">
            <w:pPr>
              <w:pageBreakBefore w:val="0"/>
              <w:kinsoku/>
              <w:wordWrap w:val="0"/>
              <w:bidi w:val="0"/>
              <w:spacing w:line="360" w:lineRule="atLeast"/>
              <w:jc w:val="center"/>
              <w:rPr>
                <w:rFonts w:hint="default" w:ascii="Times New Roman" w:hAnsi="Times New Roman" w:cs="Times New Roman"/>
                <w:szCs w:val="21"/>
                <w:highlight w:val="none"/>
              </w:rPr>
            </w:pPr>
          </w:p>
        </w:tc>
      </w:tr>
      <w:tr w14:paraId="223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01D5C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85F8BB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喷浆边坡防护</w:t>
            </w:r>
          </w:p>
        </w:tc>
        <w:tc>
          <w:tcPr>
            <w:tcW w:w="749" w:type="dxa"/>
            <w:noWrap w:val="0"/>
            <w:vAlign w:val="center"/>
          </w:tcPr>
          <w:p w14:paraId="6FDE749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11C9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8F3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3CC128">
            <w:pPr>
              <w:pageBreakBefore w:val="0"/>
              <w:kinsoku/>
              <w:wordWrap w:val="0"/>
              <w:bidi w:val="0"/>
              <w:spacing w:line="360" w:lineRule="atLeast"/>
              <w:jc w:val="center"/>
              <w:rPr>
                <w:rFonts w:hint="default" w:ascii="Times New Roman" w:hAnsi="Times New Roman" w:cs="Times New Roman"/>
                <w:szCs w:val="21"/>
                <w:highlight w:val="none"/>
              </w:rPr>
            </w:pPr>
          </w:p>
        </w:tc>
      </w:tr>
      <w:tr w14:paraId="387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B6B66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D978188">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喷射混凝土</w:t>
            </w:r>
            <w:r>
              <w:rPr>
                <w:rFonts w:hint="default" w:ascii="Times New Roman" w:hAnsi="Times New Roman" w:cs="Times New Roman"/>
                <w:kern w:val="0"/>
                <w:szCs w:val="21"/>
                <w:highlight w:val="none"/>
              </w:rPr>
              <w:t>边坡防护</w:t>
            </w:r>
          </w:p>
        </w:tc>
        <w:tc>
          <w:tcPr>
            <w:tcW w:w="749" w:type="dxa"/>
            <w:noWrap w:val="0"/>
            <w:vAlign w:val="center"/>
          </w:tcPr>
          <w:p w14:paraId="777CF766">
            <w:pPr>
              <w:pageBreakBefore w:val="0"/>
              <w:widowControl/>
              <w:kinsoku/>
              <w:wordWrap w:val="0"/>
              <w:bidi w:val="0"/>
              <w:spacing w:line="360" w:lineRule="atLeast"/>
              <w:jc w:val="center"/>
              <w:rPr>
                <w:rFonts w:hint="default" w:ascii="Times New Roman" w:hAnsi="Times New Roman" w:cs="Times New Roman"/>
                <w:bCs/>
                <w:kern w:val="0"/>
                <w:szCs w:val="21"/>
                <w:highlight w:val="none"/>
                <w:vertAlign w:val="superscript"/>
              </w:rPr>
            </w:pPr>
            <w:r>
              <w:rPr>
                <w:rFonts w:hint="default" w:ascii="Times New Roman" w:hAnsi="Times New Roman" w:cs="Times New Roman"/>
                <w:bCs/>
                <w:kern w:val="0"/>
                <w:szCs w:val="21"/>
                <w:highlight w:val="none"/>
              </w:rPr>
              <w:t>m</w:t>
            </w:r>
            <w:r>
              <w:rPr>
                <w:rFonts w:hint="default" w:ascii="Times New Roman" w:hAnsi="Times New Roman" w:cs="Times New Roman"/>
                <w:bCs/>
                <w:kern w:val="0"/>
                <w:szCs w:val="21"/>
                <w:highlight w:val="none"/>
                <w:vertAlign w:val="superscript"/>
              </w:rPr>
              <w:t>2</w:t>
            </w:r>
          </w:p>
        </w:tc>
        <w:tc>
          <w:tcPr>
            <w:tcW w:w="837" w:type="dxa"/>
            <w:noWrap w:val="0"/>
            <w:vAlign w:val="center"/>
          </w:tcPr>
          <w:p w14:paraId="251F75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80B6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BE16EE">
            <w:pPr>
              <w:pageBreakBefore w:val="0"/>
              <w:kinsoku/>
              <w:wordWrap w:val="0"/>
              <w:bidi w:val="0"/>
              <w:spacing w:line="360" w:lineRule="atLeast"/>
              <w:jc w:val="center"/>
              <w:rPr>
                <w:rFonts w:hint="default" w:ascii="Times New Roman" w:hAnsi="Times New Roman" w:cs="Times New Roman"/>
                <w:szCs w:val="21"/>
                <w:highlight w:val="none"/>
              </w:rPr>
            </w:pPr>
          </w:p>
        </w:tc>
      </w:tr>
      <w:tr w14:paraId="370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044F0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212-4</w:t>
            </w:r>
          </w:p>
        </w:tc>
        <w:tc>
          <w:tcPr>
            <w:tcW w:w="4732" w:type="dxa"/>
            <w:noWrap w:val="0"/>
            <w:vAlign w:val="center"/>
          </w:tcPr>
          <w:p w14:paraId="64A7F9A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土钉支护</w:t>
            </w:r>
          </w:p>
        </w:tc>
        <w:tc>
          <w:tcPr>
            <w:tcW w:w="749" w:type="dxa"/>
            <w:noWrap w:val="0"/>
            <w:vAlign w:val="center"/>
          </w:tcPr>
          <w:p w14:paraId="77180FB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0875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410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AD4318">
            <w:pPr>
              <w:pageBreakBefore w:val="0"/>
              <w:kinsoku/>
              <w:wordWrap w:val="0"/>
              <w:bidi w:val="0"/>
              <w:spacing w:line="360" w:lineRule="atLeast"/>
              <w:jc w:val="center"/>
              <w:rPr>
                <w:rFonts w:hint="default" w:ascii="Times New Roman" w:hAnsi="Times New Roman" w:cs="Times New Roman"/>
                <w:szCs w:val="21"/>
                <w:highlight w:val="none"/>
              </w:rPr>
            </w:pPr>
          </w:p>
        </w:tc>
      </w:tr>
      <w:tr w14:paraId="0B8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01CE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F0FBE0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钻孔注浆钉</w:t>
            </w:r>
          </w:p>
        </w:tc>
        <w:tc>
          <w:tcPr>
            <w:tcW w:w="749" w:type="dxa"/>
            <w:noWrap w:val="0"/>
            <w:vAlign w:val="center"/>
          </w:tcPr>
          <w:p w14:paraId="01B915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97B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69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2F1DA">
            <w:pPr>
              <w:pageBreakBefore w:val="0"/>
              <w:kinsoku/>
              <w:wordWrap w:val="0"/>
              <w:bidi w:val="0"/>
              <w:spacing w:line="360" w:lineRule="atLeast"/>
              <w:jc w:val="center"/>
              <w:rPr>
                <w:rFonts w:hint="default" w:ascii="Times New Roman" w:hAnsi="Times New Roman" w:cs="Times New Roman"/>
                <w:szCs w:val="21"/>
                <w:highlight w:val="none"/>
              </w:rPr>
            </w:pPr>
          </w:p>
        </w:tc>
      </w:tr>
      <w:tr w14:paraId="2D6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5E7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B18654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击入钉</w:t>
            </w:r>
          </w:p>
        </w:tc>
        <w:tc>
          <w:tcPr>
            <w:tcW w:w="749" w:type="dxa"/>
            <w:noWrap w:val="0"/>
            <w:vAlign w:val="center"/>
          </w:tcPr>
          <w:p w14:paraId="67F5DC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ACE23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2C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24532A">
            <w:pPr>
              <w:pageBreakBefore w:val="0"/>
              <w:kinsoku/>
              <w:wordWrap w:val="0"/>
              <w:bidi w:val="0"/>
              <w:spacing w:line="360" w:lineRule="atLeast"/>
              <w:jc w:val="center"/>
              <w:rPr>
                <w:rFonts w:hint="default" w:ascii="Times New Roman" w:hAnsi="Times New Roman" w:cs="Times New Roman"/>
                <w:szCs w:val="21"/>
                <w:highlight w:val="none"/>
              </w:rPr>
            </w:pPr>
          </w:p>
        </w:tc>
      </w:tr>
      <w:tr w14:paraId="0C4A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60F4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2EA932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749" w:type="dxa"/>
            <w:noWrap w:val="0"/>
            <w:vAlign w:val="center"/>
          </w:tcPr>
          <w:p w14:paraId="389A64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A0967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41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99A9FE">
            <w:pPr>
              <w:pageBreakBefore w:val="0"/>
              <w:kinsoku/>
              <w:wordWrap w:val="0"/>
              <w:bidi w:val="0"/>
              <w:spacing w:line="360" w:lineRule="atLeast"/>
              <w:jc w:val="center"/>
              <w:rPr>
                <w:rFonts w:hint="default" w:ascii="Times New Roman" w:hAnsi="Times New Roman" w:cs="Times New Roman"/>
                <w:szCs w:val="21"/>
                <w:highlight w:val="none"/>
              </w:rPr>
            </w:pPr>
          </w:p>
        </w:tc>
      </w:tr>
      <w:tr w14:paraId="4343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41E2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1CEBA8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1410B1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D78E3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5B71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A20770">
            <w:pPr>
              <w:pageBreakBefore w:val="0"/>
              <w:kinsoku/>
              <w:wordWrap w:val="0"/>
              <w:bidi w:val="0"/>
              <w:spacing w:line="360" w:lineRule="atLeast"/>
              <w:jc w:val="center"/>
              <w:rPr>
                <w:rFonts w:hint="default" w:ascii="Times New Roman" w:hAnsi="Times New Roman" w:cs="Times New Roman"/>
                <w:szCs w:val="21"/>
                <w:highlight w:val="none"/>
              </w:rPr>
            </w:pPr>
          </w:p>
        </w:tc>
      </w:tr>
      <w:tr w14:paraId="500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6428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718D8B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5C546F6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DE746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E5EF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ED014A">
            <w:pPr>
              <w:pageBreakBefore w:val="0"/>
              <w:kinsoku/>
              <w:wordWrap w:val="0"/>
              <w:bidi w:val="0"/>
              <w:spacing w:line="360" w:lineRule="atLeast"/>
              <w:jc w:val="center"/>
              <w:rPr>
                <w:rFonts w:hint="default" w:ascii="Times New Roman" w:hAnsi="Times New Roman" w:cs="Times New Roman"/>
                <w:szCs w:val="21"/>
                <w:highlight w:val="none"/>
              </w:rPr>
            </w:pPr>
          </w:p>
        </w:tc>
      </w:tr>
      <w:tr w14:paraId="7E7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8DE4C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76F1582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网格梁、立柱、挡土板</w:t>
            </w:r>
          </w:p>
        </w:tc>
        <w:tc>
          <w:tcPr>
            <w:tcW w:w="749" w:type="dxa"/>
            <w:noWrap w:val="0"/>
            <w:vAlign w:val="center"/>
          </w:tcPr>
          <w:p w14:paraId="05EF72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7D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3832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DDF46">
            <w:pPr>
              <w:pageBreakBefore w:val="0"/>
              <w:kinsoku/>
              <w:wordWrap w:val="0"/>
              <w:bidi w:val="0"/>
              <w:spacing w:line="360" w:lineRule="atLeast"/>
              <w:jc w:val="center"/>
              <w:rPr>
                <w:rFonts w:hint="default" w:ascii="Times New Roman" w:hAnsi="Times New Roman" w:cs="Times New Roman"/>
                <w:szCs w:val="21"/>
                <w:highlight w:val="none"/>
              </w:rPr>
            </w:pPr>
          </w:p>
        </w:tc>
      </w:tr>
      <w:tr w14:paraId="73F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5EC1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5823E8B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7022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C394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7F4C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F35AB">
            <w:pPr>
              <w:pageBreakBefore w:val="0"/>
              <w:kinsoku/>
              <w:wordWrap w:val="0"/>
              <w:bidi w:val="0"/>
              <w:spacing w:line="360" w:lineRule="atLeast"/>
              <w:jc w:val="center"/>
              <w:rPr>
                <w:rFonts w:hint="default" w:ascii="Times New Roman" w:hAnsi="Times New Roman" w:cs="Times New Roman"/>
                <w:szCs w:val="21"/>
                <w:highlight w:val="none"/>
              </w:rPr>
            </w:pPr>
          </w:p>
        </w:tc>
      </w:tr>
      <w:tr w14:paraId="38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D8497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213</w:t>
            </w:r>
          </w:p>
        </w:tc>
        <w:tc>
          <w:tcPr>
            <w:tcW w:w="4732" w:type="dxa"/>
            <w:noWrap w:val="0"/>
            <w:vAlign w:val="center"/>
          </w:tcPr>
          <w:p w14:paraId="00A3566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预应力锚索边坡加固</w:t>
            </w:r>
          </w:p>
        </w:tc>
        <w:tc>
          <w:tcPr>
            <w:tcW w:w="749" w:type="dxa"/>
            <w:noWrap w:val="0"/>
            <w:vAlign w:val="center"/>
          </w:tcPr>
          <w:p w14:paraId="6F322AE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EE9CB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5055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AF4984">
            <w:pPr>
              <w:pageBreakBefore w:val="0"/>
              <w:kinsoku/>
              <w:wordWrap w:val="0"/>
              <w:bidi w:val="0"/>
              <w:spacing w:line="360" w:lineRule="atLeast"/>
              <w:jc w:val="center"/>
              <w:rPr>
                <w:rFonts w:hint="default" w:ascii="Times New Roman" w:hAnsi="Times New Roman" w:cs="Times New Roman"/>
                <w:szCs w:val="21"/>
                <w:highlight w:val="none"/>
              </w:rPr>
            </w:pPr>
          </w:p>
        </w:tc>
      </w:tr>
      <w:tr w14:paraId="4CC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35C06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213-1</w:t>
            </w:r>
          </w:p>
        </w:tc>
        <w:tc>
          <w:tcPr>
            <w:tcW w:w="4732" w:type="dxa"/>
            <w:noWrap w:val="0"/>
            <w:vAlign w:val="center"/>
          </w:tcPr>
          <w:p w14:paraId="1996289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预应力钢绞线</w:t>
            </w:r>
          </w:p>
        </w:tc>
        <w:tc>
          <w:tcPr>
            <w:tcW w:w="749" w:type="dxa"/>
            <w:noWrap w:val="0"/>
            <w:vAlign w:val="center"/>
          </w:tcPr>
          <w:p w14:paraId="3C17E1C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7EC0F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BEB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60B0D">
            <w:pPr>
              <w:pageBreakBefore w:val="0"/>
              <w:kinsoku/>
              <w:wordWrap w:val="0"/>
              <w:bidi w:val="0"/>
              <w:spacing w:line="360" w:lineRule="atLeast"/>
              <w:jc w:val="center"/>
              <w:rPr>
                <w:rFonts w:hint="default" w:ascii="Times New Roman" w:hAnsi="Times New Roman" w:cs="Times New Roman"/>
                <w:szCs w:val="21"/>
                <w:highlight w:val="none"/>
              </w:rPr>
            </w:pPr>
          </w:p>
        </w:tc>
      </w:tr>
      <w:tr w14:paraId="04F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19DD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213-2</w:t>
            </w:r>
          </w:p>
        </w:tc>
        <w:tc>
          <w:tcPr>
            <w:tcW w:w="4732" w:type="dxa"/>
            <w:noWrap w:val="0"/>
            <w:vAlign w:val="center"/>
          </w:tcPr>
          <w:p w14:paraId="611460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无黏结预应力钢绞线</w:t>
            </w:r>
          </w:p>
        </w:tc>
        <w:tc>
          <w:tcPr>
            <w:tcW w:w="749" w:type="dxa"/>
            <w:noWrap w:val="0"/>
            <w:vAlign w:val="center"/>
          </w:tcPr>
          <w:p w14:paraId="18658D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D0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84C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8BEEFE">
            <w:pPr>
              <w:pageBreakBefore w:val="0"/>
              <w:kinsoku/>
              <w:wordWrap w:val="0"/>
              <w:bidi w:val="0"/>
              <w:spacing w:line="360" w:lineRule="atLeast"/>
              <w:jc w:val="center"/>
              <w:rPr>
                <w:rFonts w:hint="default" w:ascii="Times New Roman" w:hAnsi="Times New Roman" w:cs="Times New Roman"/>
                <w:szCs w:val="21"/>
                <w:highlight w:val="none"/>
              </w:rPr>
            </w:pPr>
          </w:p>
        </w:tc>
      </w:tr>
      <w:tr w14:paraId="409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5077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213-3</w:t>
            </w:r>
          </w:p>
        </w:tc>
        <w:tc>
          <w:tcPr>
            <w:tcW w:w="4732" w:type="dxa"/>
            <w:noWrap w:val="0"/>
            <w:vAlign w:val="center"/>
          </w:tcPr>
          <w:p w14:paraId="031977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39F40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D5F73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432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810BE2">
            <w:pPr>
              <w:pageBreakBefore w:val="0"/>
              <w:kinsoku/>
              <w:wordWrap w:val="0"/>
              <w:bidi w:val="0"/>
              <w:spacing w:line="360" w:lineRule="atLeast"/>
              <w:jc w:val="center"/>
              <w:rPr>
                <w:rFonts w:hint="default" w:ascii="Times New Roman" w:hAnsi="Times New Roman" w:cs="Times New Roman"/>
                <w:szCs w:val="21"/>
                <w:highlight w:val="none"/>
              </w:rPr>
            </w:pPr>
          </w:p>
        </w:tc>
      </w:tr>
      <w:tr w14:paraId="750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45C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CCB5EC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钢筋锚杆</w:t>
            </w:r>
          </w:p>
        </w:tc>
        <w:tc>
          <w:tcPr>
            <w:tcW w:w="749" w:type="dxa"/>
            <w:noWrap w:val="0"/>
            <w:vAlign w:val="center"/>
          </w:tcPr>
          <w:p w14:paraId="672C558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2F3DDD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D04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241C77">
            <w:pPr>
              <w:pageBreakBefore w:val="0"/>
              <w:kinsoku/>
              <w:wordWrap w:val="0"/>
              <w:bidi w:val="0"/>
              <w:spacing w:line="360" w:lineRule="atLeast"/>
              <w:jc w:val="center"/>
              <w:rPr>
                <w:rFonts w:hint="default" w:ascii="Times New Roman" w:hAnsi="Times New Roman" w:cs="Times New Roman"/>
                <w:szCs w:val="21"/>
                <w:highlight w:val="none"/>
              </w:rPr>
            </w:pPr>
          </w:p>
        </w:tc>
      </w:tr>
      <w:tr w14:paraId="607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F769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69BEDA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预应力钢筋锚杆</w:t>
            </w:r>
          </w:p>
        </w:tc>
        <w:tc>
          <w:tcPr>
            <w:tcW w:w="749" w:type="dxa"/>
            <w:noWrap w:val="0"/>
            <w:vAlign w:val="center"/>
          </w:tcPr>
          <w:p w14:paraId="1F79BF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5F9C5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264B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19DF2">
            <w:pPr>
              <w:pageBreakBefore w:val="0"/>
              <w:kinsoku/>
              <w:wordWrap w:val="0"/>
              <w:bidi w:val="0"/>
              <w:spacing w:line="360" w:lineRule="atLeast"/>
              <w:jc w:val="center"/>
              <w:rPr>
                <w:rFonts w:hint="default" w:ascii="Times New Roman" w:hAnsi="Times New Roman" w:cs="Times New Roman"/>
                <w:szCs w:val="21"/>
                <w:highlight w:val="none"/>
              </w:rPr>
            </w:pPr>
          </w:p>
        </w:tc>
      </w:tr>
      <w:tr w14:paraId="5F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3411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213-4</w:t>
            </w:r>
          </w:p>
        </w:tc>
        <w:tc>
          <w:tcPr>
            <w:tcW w:w="4732" w:type="dxa"/>
            <w:noWrap w:val="0"/>
            <w:vAlign w:val="center"/>
          </w:tcPr>
          <w:p w14:paraId="30EEEA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混凝土框格梁</w:t>
            </w:r>
          </w:p>
        </w:tc>
        <w:tc>
          <w:tcPr>
            <w:tcW w:w="749" w:type="dxa"/>
            <w:noWrap w:val="0"/>
            <w:vAlign w:val="center"/>
          </w:tcPr>
          <w:p w14:paraId="36544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DD725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76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18748D">
            <w:pPr>
              <w:pageBreakBefore w:val="0"/>
              <w:kinsoku/>
              <w:wordWrap w:val="0"/>
              <w:bidi w:val="0"/>
              <w:spacing w:line="360" w:lineRule="atLeast"/>
              <w:jc w:val="center"/>
              <w:rPr>
                <w:rFonts w:hint="default" w:ascii="Times New Roman" w:hAnsi="Times New Roman" w:cs="Times New Roman"/>
                <w:szCs w:val="21"/>
                <w:highlight w:val="none"/>
              </w:rPr>
            </w:pPr>
          </w:p>
        </w:tc>
      </w:tr>
      <w:tr w14:paraId="7C9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7D3D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213-5</w:t>
            </w:r>
          </w:p>
        </w:tc>
        <w:tc>
          <w:tcPr>
            <w:tcW w:w="4732" w:type="dxa"/>
            <w:noWrap w:val="0"/>
            <w:vAlign w:val="center"/>
          </w:tcPr>
          <w:p w14:paraId="01A65E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混凝土锚固板</w:t>
            </w:r>
          </w:p>
        </w:tc>
        <w:tc>
          <w:tcPr>
            <w:tcW w:w="749" w:type="dxa"/>
            <w:noWrap w:val="0"/>
            <w:vAlign w:val="center"/>
          </w:tcPr>
          <w:p w14:paraId="088FEB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9D72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336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3CCFD">
            <w:pPr>
              <w:pageBreakBefore w:val="0"/>
              <w:kinsoku/>
              <w:wordWrap w:val="0"/>
              <w:bidi w:val="0"/>
              <w:spacing w:line="360" w:lineRule="atLeast"/>
              <w:jc w:val="center"/>
              <w:rPr>
                <w:rFonts w:hint="default" w:ascii="Times New Roman" w:hAnsi="Times New Roman" w:cs="Times New Roman"/>
                <w:szCs w:val="21"/>
                <w:highlight w:val="none"/>
              </w:rPr>
            </w:pPr>
          </w:p>
        </w:tc>
      </w:tr>
      <w:tr w14:paraId="0ACD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83BF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213-6</w:t>
            </w:r>
          </w:p>
        </w:tc>
        <w:tc>
          <w:tcPr>
            <w:tcW w:w="4732" w:type="dxa"/>
            <w:noWrap w:val="0"/>
            <w:vAlign w:val="center"/>
          </w:tcPr>
          <w:p w14:paraId="263072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0B3A9E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CF66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FACE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E305B7">
            <w:pPr>
              <w:pageBreakBefore w:val="0"/>
              <w:kinsoku/>
              <w:wordWrap w:val="0"/>
              <w:bidi w:val="0"/>
              <w:spacing w:line="360" w:lineRule="atLeast"/>
              <w:jc w:val="center"/>
              <w:rPr>
                <w:rFonts w:hint="default" w:ascii="Times New Roman" w:hAnsi="Times New Roman" w:cs="Times New Roman"/>
                <w:szCs w:val="21"/>
                <w:highlight w:val="none"/>
              </w:rPr>
            </w:pPr>
          </w:p>
        </w:tc>
      </w:tr>
      <w:tr w14:paraId="4E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CE8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w:t>
            </w:r>
          </w:p>
        </w:tc>
        <w:tc>
          <w:tcPr>
            <w:tcW w:w="4732" w:type="dxa"/>
            <w:noWrap w:val="0"/>
            <w:vAlign w:val="center"/>
          </w:tcPr>
          <w:p w14:paraId="1F38D4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抗滑桩</w:t>
            </w:r>
          </w:p>
        </w:tc>
        <w:tc>
          <w:tcPr>
            <w:tcW w:w="749" w:type="dxa"/>
            <w:noWrap w:val="0"/>
            <w:vAlign w:val="center"/>
          </w:tcPr>
          <w:p w14:paraId="7B8F632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645D6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9684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910FEE">
            <w:pPr>
              <w:pageBreakBefore w:val="0"/>
              <w:kinsoku/>
              <w:wordWrap w:val="0"/>
              <w:bidi w:val="0"/>
              <w:spacing w:line="360" w:lineRule="atLeast"/>
              <w:jc w:val="center"/>
              <w:rPr>
                <w:rFonts w:hint="default" w:ascii="Times New Roman" w:hAnsi="Times New Roman" w:cs="Times New Roman"/>
                <w:szCs w:val="21"/>
                <w:highlight w:val="none"/>
              </w:rPr>
            </w:pPr>
          </w:p>
        </w:tc>
      </w:tr>
      <w:tr w14:paraId="419B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1087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214-1</w:t>
            </w:r>
          </w:p>
        </w:tc>
        <w:tc>
          <w:tcPr>
            <w:tcW w:w="4732" w:type="dxa"/>
            <w:noWrap w:val="0"/>
            <w:vAlign w:val="center"/>
          </w:tcPr>
          <w:p w14:paraId="668208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现浇混凝土桩</w:t>
            </w:r>
          </w:p>
        </w:tc>
        <w:tc>
          <w:tcPr>
            <w:tcW w:w="749" w:type="dxa"/>
            <w:noWrap w:val="0"/>
            <w:vAlign w:val="center"/>
          </w:tcPr>
          <w:p w14:paraId="2279B76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19E1D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48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C950BD">
            <w:pPr>
              <w:pageBreakBefore w:val="0"/>
              <w:kinsoku/>
              <w:wordWrap w:val="0"/>
              <w:bidi w:val="0"/>
              <w:spacing w:line="360" w:lineRule="atLeast"/>
              <w:jc w:val="center"/>
              <w:rPr>
                <w:rFonts w:hint="default" w:ascii="Times New Roman" w:hAnsi="Times New Roman" w:cs="Times New Roman"/>
                <w:szCs w:val="21"/>
                <w:highlight w:val="none"/>
              </w:rPr>
            </w:pPr>
          </w:p>
        </w:tc>
      </w:tr>
      <w:tr w14:paraId="393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3485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A5A77F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4A146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C051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E60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93327">
            <w:pPr>
              <w:pageBreakBefore w:val="0"/>
              <w:kinsoku/>
              <w:wordWrap w:val="0"/>
              <w:bidi w:val="0"/>
              <w:spacing w:line="360" w:lineRule="atLeast"/>
              <w:jc w:val="center"/>
              <w:rPr>
                <w:rFonts w:hint="default" w:ascii="Times New Roman" w:hAnsi="Times New Roman" w:cs="Times New Roman"/>
                <w:szCs w:val="21"/>
                <w:highlight w:val="none"/>
              </w:rPr>
            </w:pPr>
          </w:p>
        </w:tc>
      </w:tr>
      <w:tr w14:paraId="6A8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19BF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214-2</w:t>
            </w:r>
          </w:p>
        </w:tc>
        <w:tc>
          <w:tcPr>
            <w:tcW w:w="4732" w:type="dxa"/>
            <w:noWrap w:val="0"/>
            <w:vAlign w:val="center"/>
          </w:tcPr>
          <w:p w14:paraId="52B0A76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桩板式抗滑挡墙</w:t>
            </w:r>
          </w:p>
        </w:tc>
        <w:tc>
          <w:tcPr>
            <w:tcW w:w="749" w:type="dxa"/>
            <w:noWrap w:val="0"/>
            <w:vAlign w:val="center"/>
          </w:tcPr>
          <w:p w14:paraId="6944A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50866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EA7F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2475A8">
            <w:pPr>
              <w:pageBreakBefore w:val="0"/>
              <w:kinsoku/>
              <w:wordWrap w:val="0"/>
              <w:bidi w:val="0"/>
              <w:spacing w:line="360" w:lineRule="atLeast"/>
              <w:jc w:val="center"/>
              <w:rPr>
                <w:rFonts w:hint="default" w:ascii="Times New Roman" w:hAnsi="Times New Roman" w:cs="Times New Roman"/>
                <w:szCs w:val="21"/>
                <w:highlight w:val="none"/>
              </w:rPr>
            </w:pPr>
          </w:p>
        </w:tc>
      </w:tr>
      <w:tr w14:paraId="44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D9149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C6E82E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挡土板</w:t>
            </w:r>
          </w:p>
        </w:tc>
        <w:tc>
          <w:tcPr>
            <w:tcW w:w="749" w:type="dxa"/>
            <w:noWrap w:val="0"/>
            <w:vAlign w:val="center"/>
          </w:tcPr>
          <w:p w14:paraId="0C35586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5AFB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A732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D25CF">
            <w:pPr>
              <w:pageBreakBefore w:val="0"/>
              <w:kinsoku/>
              <w:wordWrap w:val="0"/>
              <w:bidi w:val="0"/>
              <w:spacing w:line="360" w:lineRule="atLeast"/>
              <w:jc w:val="center"/>
              <w:rPr>
                <w:rFonts w:hint="default" w:ascii="Times New Roman" w:hAnsi="Times New Roman" w:cs="Times New Roman"/>
                <w:szCs w:val="21"/>
                <w:highlight w:val="none"/>
              </w:rPr>
            </w:pPr>
          </w:p>
        </w:tc>
      </w:tr>
      <w:tr w14:paraId="1ED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2DA5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214-3</w:t>
            </w:r>
          </w:p>
        </w:tc>
        <w:tc>
          <w:tcPr>
            <w:tcW w:w="4732" w:type="dxa"/>
            <w:noWrap w:val="0"/>
            <w:vAlign w:val="center"/>
          </w:tcPr>
          <w:p w14:paraId="75A98C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20EFAA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9260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47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82ECF">
            <w:pPr>
              <w:pageBreakBefore w:val="0"/>
              <w:kinsoku/>
              <w:wordWrap w:val="0"/>
              <w:bidi w:val="0"/>
              <w:spacing w:line="360" w:lineRule="atLeast"/>
              <w:jc w:val="center"/>
              <w:rPr>
                <w:rFonts w:hint="default" w:ascii="Times New Roman" w:hAnsi="Times New Roman" w:cs="Times New Roman"/>
                <w:szCs w:val="21"/>
                <w:highlight w:val="none"/>
              </w:rPr>
            </w:pPr>
          </w:p>
        </w:tc>
      </w:tr>
      <w:tr w14:paraId="2B32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9354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215</w:t>
            </w:r>
          </w:p>
        </w:tc>
        <w:tc>
          <w:tcPr>
            <w:tcW w:w="4732" w:type="dxa"/>
            <w:noWrap w:val="0"/>
            <w:vAlign w:val="center"/>
          </w:tcPr>
          <w:p w14:paraId="7960DD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河道防护</w:t>
            </w:r>
          </w:p>
        </w:tc>
        <w:tc>
          <w:tcPr>
            <w:tcW w:w="749" w:type="dxa"/>
            <w:noWrap w:val="0"/>
            <w:vAlign w:val="center"/>
          </w:tcPr>
          <w:p w14:paraId="2282F13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63CDE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1B9A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36F13">
            <w:pPr>
              <w:pageBreakBefore w:val="0"/>
              <w:kinsoku/>
              <w:wordWrap w:val="0"/>
              <w:bidi w:val="0"/>
              <w:spacing w:line="360" w:lineRule="atLeast"/>
              <w:jc w:val="center"/>
              <w:rPr>
                <w:rFonts w:hint="default" w:ascii="Times New Roman" w:hAnsi="Times New Roman" w:cs="Times New Roman"/>
                <w:szCs w:val="21"/>
                <w:highlight w:val="none"/>
              </w:rPr>
            </w:pPr>
          </w:p>
        </w:tc>
      </w:tr>
      <w:tr w14:paraId="4B98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B3A3E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215-1</w:t>
            </w:r>
          </w:p>
        </w:tc>
        <w:tc>
          <w:tcPr>
            <w:tcW w:w="4732" w:type="dxa"/>
            <w:noWrap w:val="0"/>
            <w:vAlign w:val="center"/>
          </w:tcPr>
          <w:p w14:paraId="2725407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河床铺砌</w:t>
            </w:r>
          </w:p>
        </w:tc>
        <w:tc>
          <w:tcPr>
            <w:tcW w:w="749" w:type="dxa"/>
            <w:noWrap w:val="0"/>
            <w:vAlign w:val="center"/>
          </w:tcPr>
          <w:p w14:paraId="673553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FAA60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20B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29D3FE">
            <w:pPr>
              <w:pageBreakBefore w:val="0"/>
              <w:kinsoku/>
              <w:wordWrap w:val="0"/>
              <w:bidi w:val="0"/>
              <w:spacing w:line="360" w:lineRule="atLeast"/>
              <w:jc w:val="center"/>
              <w:rPr>
                <w:rFonts w:hint="default" w:ascii="Times New Roman" w:hAnsi="Times New Roman" w:cs="Times New Roman"/>
                <w:szCs w:val="21"/>
                <w:highlight w:val="none"/>
              </w:rPr>
            </w:pPr>
          </w:p>
        </w:tc>
      </w:tr>
      <w:tr w14:paraId="4C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C871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8C94F5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644572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81B5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75AA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BF4A76">
            <w:pPr>
              <w:pageBreakBefore w:val="0"/>
              <w:kinsoku/>
              <w:wordWrap w:val="0"/>
              <w:bidi w:val="0"/>
              <w:spacing w:line="360" w:lineRule="atLeast"/>
              <w:jc w:val="center"/>
              <w:rPr>
                <w:rFonts w:hint="default" w:ascii="Times New Roman" w:hAnsi="Times New Roman" w:cs="Times New Roman"/>
                <w:szCs w:val="21"/>
                <w:highlight w:val="none"/>
              </w:rPr>
            </w:pPr>
          </w:p>
        </w:tc>
      </w:tr>
      <w:tr w14:paraId="26C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B39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AF68A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混凝土铺砌</w:t>
            </w:r>
          </w:p>
        </w:tc>
        <w:tc>
          <w:tcPr>
            <w:tcW w:w="749" w:type="dxa"/>
            <w:noWrap w:val="0"/>
            <w:vAlign w:val="center"/>
          </w:tcPr>
          <w:p w14:paraId="161ECE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11E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E0B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D352C">
            <w:pPr>
              <w:pageBreakBefore w:val="0"/>
              <w:kinsoku/>
              <w:wordWrap w:val="0"/>
              <w:bidi w:val="0"/>
              <w:spacing w:line="360" w:lineRule="atLeast"/>
              <w:jc w:val="center"/>
              <w:rPr>
                <w:rFonts w:hint="default" w:ascii="Times New Roman" w:hAnsi="Times New Roman" w:cs="Times New Roman"/>
                <w:szCs w:val="21"/>
                <w:highlight w:val="none"/>
              </w:rPr>
            </w:pPr>
          </w:p>
        </w:tc>
      </w:tr>
      <w:tr w14:paraId="748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F862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215-2</w:t>
            </w:r>
          </w:p>
        </w:tc>
        <w:tc>
          <w:tcPr>
            <w:tcW w:w="4732" w:type="dxa"/>
            <w:noWrap w:val="0"/>
            <w:vAlign w:val="center"/>
          </w:tcPr>
          <w:p w14:paraId="2E4006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导流设施（护岸墙、顺坝、丁坝、调水坝、锥坡）</w:t>
            </w:r>
          </w:p>
        </w:tc>
        <w:tc>
          <w:tcPr>
            <w:tcW w:w="749" w:type="dxa"/>
            <w:noWrap w:val="0"/>
            <w:vAlign w:val="center"/>
          </w:tcPr>
          <w:p w14:paraId="0B0A20DF">
            <w:pPr>
              <w:pageBreakBefore w:val="0"/>
              <w:widowControl/>
              <w:kinsoku/>
              <w:wordWrap w:val="0"/>
              <w:bidi w:val="0"/>
              <w:spacing w:line="360" w:lineRule="atLeast"/>
              <w:jc w:val="left"/>
              <w:rPr>
                <w:rFonts w:hint="default" w:ascii="Times New Roman" w:hAnsi="Times New Roman" w:cs="Times New Roman"/>
                <w:kern w:val="0"/>
                <w:szCs w:val="21"/>
                <w:highlight w:val="none"/>
              </w:rPr>
            </w:pPr>
          </w:p>
        </w:tc>
        <w:tc>
          <w:tcPr>
            <w:tcW w:w="837" w:type="dxa"/>
            <w:noWrap w:val="0"/>
            <w:vAlign w:val="center"/>
          </w:tcPr>
          <w:p w14:paraId="0A9BCF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2CB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C1287">
            <w:pPr>
              <w:pageBreakBefore w:val="0"/>
              <w:kinsoku/>
              <w:wordWrap w:val="0"/>
              <w:bidi w:val="0"/>
              <w:spacing w:line="360" w:lineRule="atLeast"/>
              <w:jc w:val="center"/>
              <w:rPr>
                <w:rFonts w:hint="default" w:ascii="Times New Roman" w:hAnsi="Times New Roman" w:cs="Times New Roman"/>
                <w:szCs w:val="21"/>
                <w:highlight w:val="none"/>
              </w:rPr>
            </w:pPr>
          </w:p>
        </w:tc>
      </w:tr>
      <w:tr w14:paraId="1F4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3BD9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4DA43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2A2CC6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732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56E1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EA374A">
            <w:pPr>
              <w:pageBreakBefore w:val="0"/>
              <w:kinsoku/>
              <w:wordWrap w:val="0"/>
              <w:bidi w:val="0"/>
              <w:spacing w:line="360" w:lineRule="atLeast"/>
              <w:jc w:val="center"/>
              <w:rPr>
                <w:rFonts w:hint="default" w:ascii="Times New Roman" w:hAnsi="Times New Roman" w:cs="Times New Roman"/>
                <w:szCs w:val="21"/>
                <w:highlight w:val="none"/>
              </w:rPr>
            </w:pPr>
          </w:p>
        </w:tc>
      </w:tr>
      <w:tr w14:paraId="09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4570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C05D15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47638EE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FDB39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9B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FDA8E1">
            <w:pPr>
              <w:pageBreakBefore w:val="0"/>
              <w:kinsoku/>
              <w:wordWrap w:val="0"/>
              <w:bidi w:val="0"/>
              <w:spacing w:line="360" w:lineRule="atLeast"/>
              <w:jc w:val="center"/>
              <w:rPr>
                <w:rFonts w:hint="default" w:ascii="Times New Roman" w:hAnsi="Times New Roman" w:cs="Times New Roman"/>
                <w:szCs w:val="21"/>
                <w:highlight w:val="none"/>
              </w:rPr>
            </w:pPr>
          </w:p>
        </w:tc>
      </w:tr>
      <w:tr w14:paraId="110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510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6FCD2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石笼</w:t>
            </w:r>
          </w:p>
        </w:tc>
        <w:tc>
          <w:tcPr>
            <w:tcW w:w="749" w:type="dxa"/>
            <w:noWrap w:val="0"/>
            <w:vAlign w:val="center"/>
          </w:tcPr>
          <w:p w14:paraId="3447F87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567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445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6DA37B">
            <w:pPr>
              <w:pageBreakBefore w:val="0"/>
              <w:kinsoku/>
              <w:wordWrap w:val="0"/>
              <w:bidi w:val="0"/>
              <w:spacing w:line="360" w:lineRule="atLeast"/>
              <w:jc w:val="center"/>
              <w:rPr>
                <w:rFonts w:hint="default" w:ascii="Times New Roman" w:hAnsi="Times New Roman" w:cs="Times New Roman"/>
                <w:szCs w:val="21"/>
                <w:highlight w:val="none"/>
              </w:rPr>
            </w:pPr>
          </w:p>
        </w:tc>
      </w:tr>
      <w:tr w14:paraId="004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F503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215-3</w:t>
            </w:r>
          </w:p>
        </w:tc>
        <w:tc>
          <w:tcPr>
            <w:tcW w:w="4732" w:type="dxa"/>
            <w:noWrap w:val="0"/>
            <w:vAlign w:val="center"/>
          </w:tcPr>
          <w:p w14:paraId="08D66C2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抛石防护</w:t>
            </w:r>
          </w:p>
        </w:tc>
        <w:tc>
          <w:tcPr>
            <w:tcW w:w="749" w:type="dxa"/>
            <w:noWrap w:val="0"/>
            <w:vAlign w:val="center"/>
          </w:tcPr>
          <w:p w14:paraId="5BB4EB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4D8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E88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30712">
            <w:pPr>
              <w:pageBreakBefore w:val="0"/>
              <w:kinsoku/>
              <w:wordWrap w:val="0"/>
              <w:bidi w:val="0"/>
              <w:spacing w:line="360" w:lineRule="atLeast"/>
              <w:jc w:val="center"/>
              <w:rPr>
                <w:rFonts w:hint="default" w:ascii="Times New Roman" w:hAnsi="Times New Roman" w:cs="Times New Roman"/>
                <w:szCs w:val="21"/>
                <w:highlight w:val="none"/>
              </w:rPr>
            </w:pPr>
          </w:p>
        </w:tc>
      </w:tr>
      <w:tr w14:paraId="607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EEF329A">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清单第200章合计  人民币</w:t>
            </w:r>
            <w:r>
              <w:rPr>
                <w:rFonts w:hint="default" w:ascii="Times New Roman" w:hAnsi="Times New Roman" w:cs="Times New Roman"/>
                <w:szCs w:val="21"/>
                <w:highlight w:val="none"/>
                <w:u w:val="single"/>
              </w:rPr>
              <w:t xml:space="preserve">                    </w:t>
            </w:r>
          </w:p>
        </w:tc>
      </w:tr>
    </w:tbl>
    <w:p w14:paraId="7D5AAA22">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72683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80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7DF1E53">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5E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4DBCF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851776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4EE142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3B3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16DD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78419A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97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4DA729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295709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94E02F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345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B84B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6272641">
            <w:pPr>
              <w:pageBreakBefore w:val="0"/>
              <w:kinsoku/>
              <w:wordWrap w:val="0"/>
              <w:bidi w:val="0"/>
              <w:spacing w:line="360" w:lineRule="atLeast"/>
              <w:jc w:val="center"/>
              <w:rPr>
                <w:rFonts w:hint="default" w:ascii="Times New Roman" w:hAnsi="Times New Roman" w:cs="Times New Roman"/>
                <w:szCs w:val="21"/>
                <w:highlight w:val="none"/>
              </w:rPr>
            </w:pPr>
          </w:p>
        </w:tc>
      </w:tr>
      <w:tr w14:paraId="0DA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7743FBA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441059E3">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27B1933">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127D5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77DF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064C63B">
            <w:pPr>
              <w:pageBreakBefore w:val="0"/>
              <w:kinsoku/>
              <w:wordWrap w:val="0"/>
              <w:bidi w:val="0"/>
              <w:spacing w:line="360" w:lineRule="atLeast"/>
              <w:jc w:val="center"/>
              <w:rPr>
                <w:rFonts w:hint="default" w:ascii="Times New Roman" w:hAnsi="Times New Roman" w:cs="Times New Roman"/>
                <w:szCs w:val="21"/>
                <w:highlight w:val="none"/>
              </w:rPr>
            </w:pPr>
          </w:p>
        </w:tc>
      </w:tr>
      <w:tr w14:paraId="7CF2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3BBC235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3A9AD3F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tcBorders>
              <w:top w:val="single" w:color="auto" w:sz="4" w:space="0"/>
              <w:left w:val="single" w:color="auto" w:sz="4" w:space="0"/>
              <w:right w:val="single" w:color="auto" w:sz="4" w:space="0"/>
            </w:tcBorders>
            <w:noWrap w:val="0"/>
            <w:vAlign w:val="top"/>
          </w:tcPr>
          <w:p w14:paraId="5A1D2A8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tcBorders>
              <w:top w:val="single" w:color="auto" w:sz="4" w:space="0"/>
              <w:left w:val="single" w:color="auto" w:sz="4" w:space="0"/>
              <w:right w:val="single" w:color="auto" w:sz="4" w:space="0"/>
            </w:tcBorders>
            <w:noWrap w:val="0"/>
            <w:vAlign w:val="center"/>
          </w:tcPr>
          <w:p w14:paraId="2BD277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7B2ECA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0A721E">
            <w:pPr>
              <w:pageBreakBefore w:val="0"/>
              <w:kinsoku/>
              <w:wordWrap w:val="0"/>
              <w:bidi w:val="0"/>
              <w:spacing w:line="360" w:lineRule="atLeast"/>
              <w:jc w:val="center"/>
              <w:rPr>
                <w:rFonts w:hint="default" w:ascii="Times New Roman" w:hAnsi="Times New Roman" w:cs="Times New Roman"/>
                <w:szCs w:val="21"/>
                <w:highlight w:val="none"/>
              </w:rPr>
            </w:pPr>
          </w:p>
        </w:tc>
      </w:tr>
      <w:tr w14:paraId="0D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6DB999">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4732" w:type="dxa"/>
            <w:noWrap w:val="0"/>
            <w:vAlign w:val="top"/>
          </w:tcPr>
          <w:p w14:paraId="6555D97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top"/>
          </w:tcPr>
          <w:p w14:paraId="3D54DFBC">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E80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0C1D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E0DEB3">
            <w:pPr>
              <w:pageBreakBefore w:val="0"/>
              <w:kinsoku/>
              <w:wordWrap w:val="0"/>
              <w:bidi w:val="0"/>
              <w:spacing w:line="360" w:lineRule="atLeast"/>
              <w:jc w:val="center"/>
              <w:rPr>
                <w:rFonts w:hint="default" w:ascii="Times New Roman" w:hAnsi="Times New Roman" w:cs="Times New Roman"/>
                <w:szCs w:val="21"/>
                <w:highlight w:val="none"/>
              </w:rPr>
            </w:pPr>
          </w:p>
        </w:tc>
      </w:tr>
      <w:tr w14:paraId="3A7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2E3A3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486D1E">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448796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1F83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90C2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6193B9">
            <w:pPr>
              <w:pageBreakBefore w:val="0"/>
              <w:kinsoku/>
              <w:wordWrap w:val="0"/>
              <w:bidi w:val="0"/>
              <w:spacing w:line="360" w:lineRule="atLeast"/>
              <w:jc w:val="center"/>
              <w:rPr>
                <w:rFonts w:hint="default" w:ascii="Times New Roman" w:hAnsi="Times New Roman" w:cs="Times New Roman"/>
                <w:szCs w:val="21"/>
                <w:highlight w:val="none"/>
              </w:rPr>
            </w:pPr>
          </w:p>
        </w:tc>
      </w:tr>
      <w:tr w14:paraId="68A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49E5D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4732" w:type="dxa"/>
            <w:noWrap w:val="0"/>
            <w:vAlign w:val="top"/>
          </w:tcPr>
          <w:p w14:paraId="4486A02D">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水泥稳定土垫层</w:t>
            </w:r>
          </w:p>
        </w:tc>
        <w:tc>
          <w:tcPr>
            <w:tcW w:w="749" w:type="dxa"/>
            <w:noWrap w:val="0"/>
            <w:vAlign w:val="top"/>
          </w:tcPr>
          <w:p w14:paraId="1F13666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309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CDED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BD4E">
            <w:pPr>
              <w:pageBreakBefore w:val="0"/>
              <w:kinsoku/>
              <w:wordWrap w:val="0"/>
              <w:bidi w:val="0"/>
              <w:spacing w:line="360" w:lineRule="atLeast"/>
              <w:jc w:val="center"/>
              <w:rPr>
                <w:rFonts w:hint="default" w:ascii="Times New Roman" w:hAnsi="Times New Roman" w:cs="Times New Roman"/>
                <w:szCs w:val="21"/>
                <w:highlight w:val="none"/>
              </w:rPr>
            </w:pPr>
          </w:p>
        </w:tc>
      </w:tr>
      <w:tr w14:paraId="37B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E343D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86CBE8B">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E8AB09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6FA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A3E6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BF2E7">
            <w:pPr>
              <w:pageBreakBefore w:val="0"/>
              <w:kinsoku/>
              <w:wordWrap w:val="0"/>
              <w:bidi w:val="0"/>
              <w:spacing w:line="360" w:lineRule="atLeast"/>
              <w:jc w:val="center"/>
              <w:rPr>
                <w:rFonts w:hint="default" w:ascii="Times New Roman" w:hAnsi="Times New Roman" w:cs="Times New Roman"/>
                <w:szCs w:val="21"/>
                <w:highlight w:val="none"/>
              </w:rPr>
            </w:pPr>
          </w:p>
        </w:tc>
      </w:tr>
      <w:tr w14:paraId="41F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D057C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302-4</w:t>
            </w:r>
          </w:p>
        </w:tc>
        <w:tc>
          <w:tcPr>
            <w:tcW w:w="4732" w:type="dxa"/>
            <w:noWrap w:val="0"/>
            <w:vAlign w:val="top"/>
          </w:tcPr>
          <w:p w14:paraId="29A50D14">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石灰稳定土垫层</w:t>
            </w:r>
          </w:p>
        </w:tc>
        <w:tc>
          <w:tcPr>
            <w:tcW w:w="749" w:type="dxa"/>
            <w:noWrap w:val="0"/>
            <w:vAlign w:val="top"/>
          </w:tcPr>
          <w:p w14:paraId="50401CA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727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1B6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C9F9D4">
            <w:pPr>
              <w:pageBreakBefore w:val="0"/>
              <w:kinsoku/>
              <w:wordWrap w:val="0"/>
              <w:bidi w:val="0"/>
              <w:spacing w:line="360" w:lineRule="atLeast"/>
              <w:jc w:val="center"/>
              <w:rPr>
                <w:rFonts w:hint="default" w:ascii="Times New Roman" w:hAnsi="Times New Roman" w:cs="Times New Roman"/>
                <w:szCs w:val="21"/>
                <w:highlight w:val="none"/>
              </w:rPr>
            </w:pPr>
          </w:p>
        </w:tc>
      </w:tr>
      <w:tr w14:paraId="39F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F1637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5570A7A">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378E04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AC4DD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A968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9812C">
            <w:pPr>
              <w:pageBreakBefore w:val="0"/>
              <w:kinsoku/>
              <w:wordWrap w:val="0"/>
              <w:bidi w:val="0"/>
              <w:spacing w:line="360" w:lineRule="atLeast"/>
              <w:jc w:val="center"/>
              <w:rPr>
                <w:rFonts w:hint="default" w:ascii="Times New Roman" w:hAnsi="Times New Roman" w:cs="Times New Roman"/>
                <w:szCs w:val="21"/>
                <w:highlight w:val="none"/>
              </w:rPr>
            </w:pPr>
          </w:p>
        </w:tc>
      </w:tr>
      <w:tr w14:paraId="529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1B0B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303</w:t>
            </w:r>
          </w:p>
        </w:tc>
        <w:tc>
          <w:tcPr>
            <w:tcW w:w="4732" w:type="dxa"/>
            <w:noWrap w:val="0"/>
            <w:vAlign w:val="center"/>
          </w:tcPr>
          <w:p w14:paraId="5E0668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石灰稳定土底基层、基层</w:t>
            </w:r>
          </w:p>
        </w:tc>
        <w:tc>
          <w:tcPr>
            <w:tcW w:w="749" w:type="dxa"/>
            <w:noWrap w:val="0"/>
            <w:vAlign w:val="top"/>
          </w:tcPr>
          <w:p w14:paraId="64ABA9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40B9C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4923C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EA903F">
            <w:pPr>
              <w:pageBreakBefore w:val="0"/>
              <w:kinsoku/>
              <w:wordWrap w:val="0"/>
              <w:bidi w:val="0"/>
              <w:spacing w:line="360" w:lineRule="atLeast"/>
              <w:jc w:val="center"/>
              <w:rPr>
                <w:rFonts w:hint="default" w:ascii="Times New Roman" w:hAnsi="Times New Roman" w:cs="Times New Roman"/>
                <w:szCs w:val="21"/>
                <w:highlight w:val="none"/>
              </w:rPr>
            </w:pPr>
          </w:p>
        </w:tc>
      </w:tr>
      <w:tr w14:paraId="19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1D38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303-1</w:t>
            </w:r>
          </w:p>
        </w:tc>
        <w:tc>
          <w:tcPr>
            <w:tcW w:w="4732" w:type="dxa"/>
            <w:noWrap w:val="0"/>
            <w:vAlign w:val="top"/>
          </w:tcPr>
          <w:p w14:paraId="517CE9B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石灰稳定土底基层</w:t>
            </w:r>
          </w:p>
        </w:tc>
        <w:tc>
          <w:tcPr>
            <w:tcW w:w="749" w:type="dxa"/>
            <w:noWrap w:val="0"/>
            <w:vAlign w:val="top"/>
          </w:tcPr>
          <w:p w14:paraId="374F6C7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0F7B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DF33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E5F5B">
            <w:pPr>
              <w:pageBreakBefore w:val="0"/>
              <w:kinsoku/>
              <w:wordWrap w:val="0"/>
              <w:bidi w:val="0"/>
              <w:spacing w:line="360" w:lineRule="atLeast"/>
              <w:jc w:val="center"/>
              <w:rPr>
                <w:rFonts w:hint="default" w:ascii="Times New Roman" w:hAnsi="Times New Roman" w:cs="Times New Roman"/>
                <w:szCs w:val="21"/>
                <w:highlight w:val="none"/>
              </w:rPr>
            </w:pPr>
          </w:p>
        </w:tc>
      </w:tr>
      <w:tr w14:paraId="6B9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890F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E141A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2A3AC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B48A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123D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5F539">
            <w:pPr>
              <w:pageBreakBefore w:val="0"/>
              <w:kinsoku/>
              <w:wordWrap w:val="0"/>
              <w:bidi w:val="0"/>
              <w:spacing w:line="360" w:lineRule="atLeast"/>
              <w:jc w:val="center"/>
              <w:rPr>
                <w:rFonts w:hint="default" w:ascii="Times New Roman" w:hAnsi="Times New Roman" w:cs="Times New Roman"/>
                <w:szCs w:val="21"/>
                <w:highlight w:val="none"/>
              </w:rPr>
            </w:pPr>
          </w:p>
        </w:tc>
      </w:tr>
      <w:tr w14:paraId="4FB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5B39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303-2</w:t>
            </w:r>
          </w:p>
        </w:tc>
        <w:tc>
          <w:tcPr>
            <w:tcW w:w="4732" w:type="dxa"/>
            <w:noWrap w:val="0"/>
            <w:vAlign w:val="top"/>
          </w:tcPr>
          <w:p w14:paraId="00CB7CC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搭板、埋板下石灰稳定土底基层</w:t>
            </w:r>
          </w:p>
        </w:tc>
        <w:tc>
          <w:tcPr>
            <w:tcW w:w="749" w:type="dxa"/>
            <w:noWrap w:val="0"/>
            <w:vAlign w:val="top"/>
          </w:tcPr>
          <w:p w14:paraId="22D97D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A0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C58C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F041CF">
            <w:pPr>
              <w:pageBreakBefore w:val="0"/>
              <w:kinsoku/>
              <w:wordWrap w:val="0"/>
              <w:bidi w:val="0"/>
              <w:spacing w:line="360" w:lineRule="atLeast"/>
              <w:jc w:val="center"/>
              <w:rPr>
                <w:rFonts w:hint="default" w:ascii="Times New Roman" w:hAnsi="Times New Roman" w:cs="Times New Roman"/>
                <w:szCs w:val="21"/>
                <w:highlight w:val="none"/>
              </w:rPr>
            </w:pPr>
          </w:p>
        </w:tc>
      </w:tr>
      <w:tr w14:paraId="4928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77CC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303-3</w:t>
            </w:r>
          </w:p>
        </w:tc>
        <w:tc>
          <w:tcPr>
            <w:tcW w:w="4732" w:type="dxa"/>
            <w:noWrap w:val="0"/>
            <w:vAlign w:val="top"/>
          </w:tcPr>
          <w:p w14:paraId="79DC664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石灰稳定土基层</w:t>
            </w:r>
          </w:p>
        </w:tc>
        <w:tc>
          <w:tcPr>
            <w:tcW w:w="749" w:type="dxa"/>
            <w:noWrap w:val="0"/>
            <w:vAlign w:val="top"/>
          </w:tcPr>
          <w:p w14:paraId="4AA0844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568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AD7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346F6A">
            <w:pPr>
              <w:pageBreakBefore w:val="0"/>
              <w:kinsoku/>
              <w:wordWrap w:val="0"/>
              <w:bidi w:val="0"/>
              <w:spacing w:line="360" w:lineRule="atLeast"/>
              <w:jc w:val="center"/>
              <w:rPr>
                <w:rFonts w:hint="default" w:ascii="Times New Roman" w:hAnsi="Times New Roman" w:cs="Times New Roman"/>
                <w:szCs w:val="21"/>
                <w:highlight w:val="none"/>
              </w:rPr>
            </w:pPr>
          </w:p>
        </w:tc>
      </w:tr>
      <w:tr w14:paraId="733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93F9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w:t>
            </w:r>
          </w:p>
        </w:tc>
        <w:tc>
          <w:tcPr>
            <w:tcW w:w="4732" w:type="dxa"/>
            <w:noWrap w:val="0"/>
            <w:vAlign w:val="top"/>
          </w:tcPr>
          <w:p w14:paraId="738DCA20">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6CD10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E9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B4F9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91135">
            <w:pPr>
              <w:pageBreakBefore w:val="0"/>
              <w:kinsoku/>
              <w:wordWrap w:val="0"/>
              <w:bidi w:val="0"/>
              <w:spacing w:line="360" w:lineRule="atLeast"/>
              <w:jc w:val="center"/>
              <w:rPr>
                <w:rFonts w:hint="default" w:ascii="Times New Roman" w:hAnsi="Times New Roman" w:cs="Times New Roman"/>
                <w:szCs w:val="21"/>
                <w:highlight w:val="none"/>
              </w:rPr>
            </w:pPr>
          </w:p>
        </w:tc>
      </w:tr>
      <w:tr w14:paraId="4875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44C6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304</w:t>
            </w:r>
          </w:p>
        </w:tc>
        <w:tc>
          <w:tcPr>
            <w:tcW w:w="4732" w:type="dxa"/>
            <w:noWrap w:val="0"/>
            <w:vAlign w:val="center"/>
          </w:tcPr>
          <w:p w14:paraId="54C9228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水泥稳定土底基层、基层</w:t>
            </w:r>
          </w:p>
        </w:tc>
        <w:tc>
          <w:tcPr>
            <w:tcW w:w="749" w:type="dxa"/>
            <w:noWrap w:val="0"/>
            <w:vAlign w:val="top"/>
          </w:tcPr>
          <w:p w14:paraId="1BA9B8D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5F115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952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88438">
            <w:pPr>
              <w:pageBreakBefore w:val="0"/>
              <w:kinsoku/>
              <w:wordWrap w:val="0"/>
              <w:bidi w:val="0"/>
              <w:spacing w:line="360" w:lineRule="atLeast"/>
              <w:jc w:val="center"/>
              <w:rPr>
                <w:rFonts w:hint="default" w:ascii="Times New Roman" w:hAnsi="Times New Roman" w:cs="Times New Roman"/>
                <w:szCs w:val="21"/>
                <w:highlight w:val="none"/>
              </w:rPr>
            </w:pPr>
          </w:p>
        </w:tc>
      </w:tr>
      <w:tr w14:paraId="70F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70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304-1</w:t>
            </w:r>
          </w:p>
        </w:tc>
        <w:tc>
          <w:tcPr>
            <w:tcW w:w="4732" w:type="dxa"/>
            <w:noWrap w:val="0"/>
            <w:vAlign w:val="top"/>
          </w:tcPr>
          <w:p w14:paraId="07709B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水泥稳定土底基层</w:t>
            </w:r>
          </w:p>
        </w:tc>
        <w:tc>
          <w:tcPr>
            <w:tcW w:w="749" w:type="dxa"/>
            <w:noWrap w:val="0"/>
            <w:vAlign w:val="top"/>
          </w:tcPr>
          <w:p w14:paraId="08D37B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04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0713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D4AC8">
            <w:pPr>
              <w:pageBreakBefore w:val="0"/>
              <w:kinsoku/>
              <w:wordWrap w:val="0"/>
              <w:bidi w:val="0"/>
              <w:spacing w:line="360" w:lineRule="atLeast"/>
              <w:jc w:val="center"/>
              <w:rPr>
                <w:rFonts w:hint="default" w:ascii="Times New Roman" w:hAnsi="Times New Roman" w:cs="Times New Roman"/>
                <w:szCs w:val="21"/>
                <w:highlight w:val="none"/>
              </w:rPr>
            </w:pPr>
          </w:p>
        </w:tc>
      </w:tr>
      <w:tr w14:paraId="73F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3B41E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CD21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A5F14A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2FBB0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EB8E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BEE9B">
            <w:pPr>
              <w:pageBreakBefore w:val="0"/>
              <w:kinsoku/>
              <w:wordWrap w:val="0"/>
              <w:bidi w:val="0"/>
              <w:spacing w:line="360" w:lineRule="atLeast"/>
              <w:jc w:val="center"/>
              <w:rPr>
                <w:rFonts w:hint="default" w:ascii="Times New Roman" w:hAnsi="Times New Roman" w:cs="Times New Roman"/>
                <w:szCs w:val="21"/>
                <w:highlight w:val="none"/>
              </w:rPr>
            </w:pPr>
          </w:p>
        </w:tc>
      </w:tr>
      <w:tr w14:paraId="430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FC49C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304-2</w:t>
            </w:r>
          </w:p>
        </w:tc>
        <w:tc>
          <w:tcPr>
            <w:tcW w:w="4732" w:type="dxa"/>
            <w:noWrap w:val="0"/>
            <w:vAlign w:val="top"/>
          </w:tcPr>
          <w:p w14:paraId="7767BC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搭板、埋板下水泥稳定土底基层</w:t>
            </w:r>
          </w:p>
        </w:tc>
        <w:tc>
          <w:tcPr>
            <w:tcW w:w="749" w:type="dxa"/>
            <w:noWrap w:val="0"/>
            <w:vAlign w:val="top"/>
          </w:tcPr>
          <w:p w14:paraId="5F36FB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5F54A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827C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56006">
            <w:pPr>
              <w:pageBreakBefore w:val="0"/>
              <w:kinsoku/>
              <w:wordWrap w:val="0"/>
              <w:bidi w:val="0"/>
              <w:spacing w:line="360" w:lineRule="atLeast"/>
              <w:jc w:val="center"/>
              <w:rPr>
                <w:rFonts w:hint="default" w:ascii="Times New Roman" w:hAnsi="Times New Roman" w:cs="Times New Roman"/>
                <w:szCs w:val="21"/>
                <w:highlight w:val="none"/>
              </w:rPr>
            </w:pPr>
          </w:p>
        </w:tc>
      </w:tr>
      <w:tr w14:paraId="45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6463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304-3</w:t>
            </w:r>
          </w:p>
        </w:tc>
        <w:tc>
          <w:tcPr>
            <w:tcW w:w="4732" w:type="dxa"/>
            <w:noWrap w:val="0"/>
            <w:vAlign w:val="top"/>
          </w:tcPr>
          <w:p w14:paraId="7873D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水泥稳定土基层</w:t>
            </w:r>
          </w:p>
        </w:tc>
        <w:tc>
          <w:tcPr>
            <w:tcW w:w="749" w:type="dxa"/>
            <w:noWrap w:val="0"/>
            <w:vAlign w:val="top"/>
          </w:tcPr>
          <w:p w14:paraId="75215D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43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E58A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0354B9">
            <w:pPr>
              <w:pageBreakBefore w:val="0"/>
              <w:kinsoku/>
              <w:wordWrap w:val="0"/>
              <w:bidi w:val="0"/>
              <w:spacing w:line="360" w:lineRule="atLeast"/>
              <w:jc w:val="center"/>
              <w:rPr>
                <w:rFonts w:hint="default" w:ascii="Times New Roman" w:hAnsi="Times New Roman" w:cs="Times New Roman"/>
                <w:szCs w:val="21"/>
                <w:highlight w:val="none"/>
              </w:rPr>
            </w:pPr>
          </w:p>
        </w:tc>
      </w:tr>
      <w:tr w14:paraId="574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CF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7EB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0C4A4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21FE2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C5BD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84BB4">
            <w:pPr>
              <w:pageBreakBefore w:val="0"/>
              <w:kinsoku/>
              <w:wordWrap w:val="0"/>
              <w:bidi w:val="0"/>
              <w:spacing w:line="360" w:lineRule="atLeast"/>
              <w:jc w:val="center"/>
              <w:rPr>
                <w:rFonts w:hint="default" w:ascii="Times New Roman" w:hAnsi="Times New Roman" w:cs="Times New Roman"/>
                <w:szCs w:val="21"/>
                <w:highlight w:val="none"/>
              </w:rPr>
            </w:pPr>
          </w:p>
        </w:tc>
      </w:tr>
      <w:tr w14:paraId="5FF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DF0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w:t>
            </w:r>
          </w:p>
        </w:tc>
        <w:tc>
          <w:tcPr>
            <w:tcW w:w="4732" w:type="dxa"/>
            <w:noWrap w:val="0"/>
            <w:vAlign w:val="center"/>
          </w:tcPr>
          <w:p w14:paraId="0B8A61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石灰粉煤灰稳定土底基层、基层</w:t>
            </w:r>
          </w:p>
        </w:tc>
        <w:tc>
          <w:tcPr>
            <w:tcW w:w="749" w:type="dxa"/>
            <w:noWrap w:val="0"/>
            <w:vAlign w:val="top"/>
          </w:tcPr>
          <w:p w14:paraId="6597E32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4F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C0F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D40650">
            <w:pPr>
              <w:pageBreakBefore w:val="0"/>
              <w:kinsoku/>
              <w:wordWrap w:val="0"/>
              <w:bidi w:val="0"/>
              <w:spacing w:line="360" w:lineRule="atLeast"/>
              <w:jc w:val="center"/>
              <w:rPr>
                <w:rFonts w:hint="default" w:ascii="Times New Roman" w:hAnsi="Times New Roman" w:cs="Times New Roman"/>
                <w:szCs w:val="21"/>
                <w:highlight w:val="none"/>
              </w:rPr>
            </w:pPr>
          </w:p>
        </w:tc>
      </w:tr>
      <w:tr w14:paraId="602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00101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305-1</w:t>
            </w:r>
          </w:p>
        </w:tc>
        <w:tc>
          <w:tcPr>
            <w:tcW w:w="4732" w:type="dxa"/>
            <w:noWrap w:val="0"/>
            <w:vAlign w:val="top"/>
          </w:tcPr>
          <w:p w14:paraId="1230DA1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石灰粉煤灰稳定土底基层</w:t>
            </w:r>
          </w:p>
        </w:tc>
        <w:tc>
          <w:tcPr>
            <w:tcW w:w="749" w:type="dxa"/>
            <w:noWrap w:val="0"/>
            <w:vAlign w:val="top"/>
          </w:tcPr>
          <w:p w14:paraId="580A1BC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688B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CF82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3BF54">
            <w:pPr>
              <w:pageBreakBefore w:val="0"/>
              <w:kinsoku/>
              <w:wordWrap w:val="0"/>
              <w:bidi w:val="0"/>
              <w:spacing w:line="360" w:lineRule="atLeast"/>
              <w:jc w:val="center"/>
              <w:rPr>
                <w:rFonts w:hint="default" w:ascii="Times New Roman" w:hAnsi="Times New Roman" w:cs="Times New Roman"/>
                <w:szCs w:val="21"/>
                <w:highlight w:val="none"/>
              </w:rPr>
            </w:pPr>
          </w:p>
        </w:tc>
      </w:tr>
      <w:tr w14:paraId="342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E864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E4DD3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E04DF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92BA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89C6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59BF43">
            <w:pPr>
              <w:pageBreakBefore w:val="0"/>
              <w:kinsoku/>
              <w:wordWrap w:val="0"/>
              <w:bidi w:val="0"/>
              <w:spacing w:line="360" w:lineRule="atLeast"/>
              <w:jc w:val="center"/>
              <w:rPr>
                <w:rFonts w:hint="default" w:ascii="Times New Roman" w:hAnsi="Times New Roman" w:cs="Times New Roman"/>
                <w:szCs w:val="21"/>
                <w:highlight w:val="none"/>
              </w:rPr>
            </w:pPr>
          </w:p>
        </w:tc>
      </w:tr>
      <w:tr w14:paraId="252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CABE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305-2</w:t>
            </w:r>
          </w:p>
        </w:tc>
        <w:tc>
          <w:tcPr>
            <w:tcW w:w="4732" w:type="dxa"/>
            <w:noWrap w:val="0"/>
            <w:vAlign w:val="center"/>
          </w:tcPr>
          <w:p w14:paraId="578FBD0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搭板、埋板下石灰粉煤灰稳定土底基层</w:t>
            </w:r>
          </w:p>
        </w:tc>
        <w:tc>
          <w:tcPr>
            <w:tcW w:w="749" w:type="dxa"/>
            <w:noWrap w:val="0"/>
            <w:vAlign w:val="top"/>
          </w:tcPr>
          <w:p w14:paraId="330AD6D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9160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10A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CDD6DA">
            <w:pPr>
              <w:pageBreakBefore w:val="0"/>
              <w:kinsoku/>
              <w:wordWrap w:val="0"/>
              <w:bidi w:val="0"/>
              <w:spacing w:line="360" w:lineRule="atLeast"/>
              <w:jc w:val="center"/>
              <w:rPr>
                <w:rFonts w:hint="default" w:ascii="Times New Roman" w:hAnsi="Times New Roman" w:cs="Times New Roman"/>
                <w:szCs w:val="21"/>
                <w:highlight w:val="none"/>
              </w:rPr>
            </w:pPr>
          </w:p>
        </w:tc>
      </w:tr>
      <w:tr w14:paraId="53A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D02C36">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305-3</w:t>
            </w:r>
          </w:p>
        </w:tc>
        <w:tc>
          <w:tcPr>
            <w:tcW w:w="4732" w:type="dxa"/>
            <w:noWrap w:val="0"/>
            <w:vAlign w:val="center"/>
          </w:tcPr>
          <w:p w14:paraId="1C730D32">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石灰粉煤灰稳定土基层</w:t>
            </w:r>
          </w:p>
        </w:tc>
        <w:tc>
          <w:tcPr>
            <w:tcW w:w="749" w:type="dxa"/>
            <w:noWrap w:val="0"/>
            <w:vAlign w:val="top"/>
          </w:tcPr>
          <w:p w14:paraId="3BEBDF6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BA0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0F92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1194C7">
            <w:pPr>
              <w:pageBreakBefore w:val="0"/>
              <w:kinsoku/>
              <w:wordWrap w:val="0"/>
              <w:bidi w:val="0"/>
              <w:spacing w:line="360" w:lineRule="atLeast"/>
              <w:jc w:val="center"/>
              <w:rPr>
                <w:rFonts w:hint="default" w:ascii="Times New Roman" w:hAnsi="Times New Roman" w:cs="Times New Roman"/>
                <w:szCs w:val="21"/>
                <w:highlight w:val="none"/>
              </w:rPr>
            </w:pPr>
          </w:p>
        </w:tc>
      </w:tr>
      <w:tr w14:paraId="59D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5C6A27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1DE86F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EFE87F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FB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175E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DE617F">
            <w:pPr>
              <w:pageBreakBefore w:val="0"/>
              <w:kinsoku/>
              <w:wordWrap w:val="0"/>
              <w:bidi w:val="0"/>
              <w:spacing w:line="360" w:lineRule="atLeast"/>
              <w:jc w:val="center"/>
              <w:rPr>
                <w:rFonts w:hint="default" w:ascii="Times New Roman" w:hAnsi="Times New Roman" w:cs="Times New Roman"/>
                <w:szCs w:val="21"/>
                <w:highlight w:val="none"/>
              </w:rPr>
            </w:pPr>
          </w:p>
        </w:tc>
      </w:tr>
      <w:tr w14:paraId="54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206063">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305-4</w:t>
            </w:r>
          </w:p>
        </w:tc>
        <w:tc>
          <w:tcPr>
            <w:tcW w:w="4732" w:type="dxa"/>
            <w:noWrap w:val="0"/>
            <w:vAlign w:val="center"/>
          </w:tcPr>
          <w:p w14:paraId="4DB31F4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石灰煤渣稳定土基层</w:t>
            </w:r>
          </w:p>
        </w:tc>
        <w:tc>
          <w:tcPr>
            <w:tcW w:w="749" w:type="dxa"/>
            <w:noWrap w:val="0"/>
            <w:vAlign w:val="center"/>
          </w:tcPr>
          <w:p w14:paraId="783D04FF">
            <w:pPr>
              <w:pageBreakBefore w:val="0"/>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DFBF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F2D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955AC">
            <w:pPr>
              <w:pageBreakBefore w:val="0"/>
              <w:kinsoku/>
              <w:wordWrap w:val="0"/>
              <w:bidi w:val="0"/>
              <w:spacing w:line="360" w:lineRule="atLeast"/>
              <w:jc w:val="center"/>
              <w:rPr>
                <w:rFonts w:hint="default" w:ascii="Times New Roman" w:hAnsi="Times New Roman" w:cs="Times New Roman"/>
                <w:szCs w:val="21"/>
                <w:highlight w:val="none"/>
              </w:rPr>
            </w:pPr>
          </w:p>
        </w:tc>
      </w:tr>
      <w:tr w14:paraId="3AE3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12DA95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3F8123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6ACD8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5675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238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11ECEB">
            <w:pPr>
              <w:pageBreakBefore w:val="0"/>
              <w:kinsoku/>
              <w:wordWrap w:val="0"/>
              <w:bidi w:val="0"/>
              <w:spacing w:line="360" w:lineRule="atLeast"/>
              <w:jc w:val="center"/>
              <w:rPr>
                <w:rFonts w:hint="default" w:ascii="Times New Roman" w:hAnsi="Times New Roman" w:cs="Times New Roman"/>
                <w:szCs w:val="21"/>
                <w:highlight w:val="none"/>
              </w:rPr>
            </w:pPr>
          </w:p>
        </w:tc>
      </w:tr>
      <w:tr w14:paraId="5D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9118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306</w:t>
            </w:r>
          </w:p>
        </w:tc>
        <w:tc>
          <w:tcPr>
            <w:tcW w:w="4732" w:type="dxa"/>
            <w:noWrap w:val="0"/>
            <w:vAlign w:val="center"/>
          </w:tcPr>
          <w:p w14:paraId="4F9315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级配碎（砾）石底基层、基层</w:t>
            </w:r>
          </w:p>
        </w:tc>
        <w:tc>
          <w:tcPr>
            <w:tcW w:w="749" w:type="dxa"/>
            <w:noWrap w:val="0"/>
            <w:vAlign w:val="center"/>
          </w:tcPr>
          <w:p w14:paraId="251B5B8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3A9B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655C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C8046E">
            <w:pPr>
              <w:pageBreakBefore w:val="0"/>
              <w:kinsoku/>
              <w:wordWrap w:val="0"/>
              <w:bidi w:val="0"/>
              <w:spacing w:line="360" w:lineRule="atLeast"/>
              <w:jc w:val="center"/>
              <w:rPr>
                <w:rFonts w:hint="default" w:ascii="Times New Roman" w:hAnsi="Times New Roman" w:cs="Times New Roman"/>
                <w:szCs w:val="21"/>
                <w:highlight w:val="none"/>
              </w:rPr>
            </w:pPr>
          </w:p>
        </w:tc>
      </w:tr>
      <w:tr w14:paraId="150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3179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306-1</w:t>
            </w:r>
          </w:p>
        </w:tc>
        <w:tc>
          <w:tcPr>
            <w:tcW w:w="4732" w:type="dxa"/>
            <w:noWrap w:val="0"/>
            <w:vAlign w:val="center"/>
          </w:tcPr>
          <w:p w14:paraId="102FC94A">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级配碎石底基层</w:t>
            </w:r>
          </w:p>
        </w:tc>
        <w:tc>
          <w:tcPr>
            <w:tcW w:w="749" w:type="dxa"/>
            <w:noWrap w:val="0"/>
            <w:vAlign w:val="center"/>
          </w:tcPr>
          <w:p w14:paraId="3F94072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2C8B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D03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31334">
            <w:pPr>
              <w:pageBreakBefore w:val="0"/>
              <w:kinsoku/>
              <w:wordWrap w:val="0"/>
              <w:bidi w:val="0"/>
              <w:spacing w:line="360" w:lineRule="atLeast"/>
              <w:jc w:val="center"/>
              <w:rPr>
                <w:rFonts w:hint="default" w:ascii="Times New Roman" w:hAnsi="Times New Roman" w:cs="Times New Roman"/>
                <w:szCs w:val="21"/>
                <w:highlight w:val="none"/>
              </w:rPr>
            </w:pPr>
          </w:p>
        </w:tc>
      </w:tr>
      <w:tr w14:paraId="14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33F5B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290F4C4">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61709B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FC94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D4E9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065F29">
            <w:pPr>
              <w:pageBreakBefore w:val="0"/>
              <w:kinsoku/>
              <w:wordWrap w:val="0"/>
              <w:bidi w:val="0"/>
              <w:spacing w:line="360" w:lineRule="atLeast"/>
              <w:jc w:val="center"/>
              <w:rPr>
                <w:rFonts w:hint="default" w:ascii="Times New Roman" w:hAnsi="Times New Roman" w:cs="Times New Roman"/>
                <w:szCs w:val="21"/>
                <w:highlight w:val="none"/>
              </w:rPr>
            </w:pPr>
          </w:p>
        </w:tc>
      </w:tr>
      <w:tr w14:paraId="250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CC108F4">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19D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94EBE41">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1D67FDCC">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07D6B014">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5438C6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FC57B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A7677F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7AC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2E41B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306-2</w:t>
            </w:r>
          </w:p>
        </w:tc>
        <w:tc>
          <w:tcPr>
            <w:tcW w:w="4732" w:type="dxa"/>
            <w:noWrap w:val="0"/>
            <w:vAlign w:val="top"/>
          </w:tcPr>
          <w:p w14:paraId="56308D3D">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搭板、埋板下级配碎石底基层</w:t>
            </w:r>
          </w:p>
        </w:tc>
        <w:tc>
          <w:tcPr>
            <w:tcW w:w="749" w:type="dxa"/>
            <w:noWrap w:val="0"/>
            <w:vAlign w:val="top"/>
          </w:tcPr>
          <w:p w14:paraId="65ADCA5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2478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5E3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84A2A9">
            <w:pPr>
              <w:pageBreakBefore w:val="0"/>
              <w:kinsoku/>
              <w:wordWrap w:val="0"/>
              <w:bidi w:val="0"/>
              <w:spacing w:line="360" w:lineRule="atLeast"/>
              <w:jc w:val="center"/>
              <w:rPr>
                <w:rFonts w:hint="default" w:ascii="Times New Roman" w:hAnsi="Times New Roman" w:cs="Times New Roman"/>
                <w:szCs w:val="21"/>
                <w:highlight w:val="none"/>
              </w:rPr>
            </w:pPr>
          </w:p>
        </w:tc>
      </w:tr>
      <w:tr w14:paraId="03F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807157">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306-3</w:t>
            </w:r>
          </w:p>
        </w:tc>
        <w:tc>
          <w:tcPr>
            <w:tcW w:w="4732" w:type="dxa"/>
            <w:noWrap w:val="0"/>
            <w:vAlign w:val="center"/>
          </w:tcPr>
          <w:p w14:paraId="6A31052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级配碎石基层</w:t>
            </w:r>
          </w:p>
        </w:tc>
        <w:tc>
          <w:tcPr>
            <w:tcW w:w="749" w:type="dxa"/>
            <w:noWrap w:val="0"/>
            <w:vAlign w:val="center"/>
          </w:tcPr>
          <w:p w14:paraId="088B5742">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4C43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40F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57C92">
            <w:pPr>
              <w:pageBreakBefore w:val="0"/>
              <w:kinsoku/>
              <w:wordWrap w:val="0"/>
              <w:bidi w:val="0"/>
              <w:spacing w:line="360" w:lineRule="atLeast"/>
              <w:jc w:val="center"/>
              <w:rPr>
                <w:rFonts w:hint="default" w:ascii="Times New Roman" w:hAnsi="Times New Roman" w:cs="Times New Roman"/>
                <w:szCs w:val="21"/>
                <w:highlight w:val="none"/>
              </w:rPr>
            </w:pPr>
          </w:p>
        </w:tc>
      </w:tr>
      <w:tr w14:paraId="7E7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149DA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DABD2C2">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49AEB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5B79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4055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8CA41A">
            <w:pPr>
              <w:pageBreakBefore w:val="0"/>
              <w:kinsoku/>
              <w:wordWrap w:val="0"/>
              <w:bidi w:val="0"/>
              <w:spacing w:line="360" w:lineRule="atLeast"/>
              <w:jc w:val="center"/>
              <w:rPr>
                <w:rFonts w:hint="default" w:ascii="Times New Roman" w:hAnsi="Times New Roman" w:cs="Times New Roman"/>
                <w:szCs w:val="21"/>
                <w:highlight w:val="none"/>
              </w:rPr>
            </w:pPr>
          </w:p>
        </w:tc>
      </w:tr>
      <w:tr w14:paraId="4B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C6B87C">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306-4</w:t>
            </w:r>
          </w:p>
        </w:tc>
        <w:tc>
          <w:tcPr>
            <w:tcW w:w="4732" w:type="dxa"/>
            <w:noWrap w:val="0"/>
            <w:vAlign w:val="center"/>
          </w:tcPr>
          <w:p w14:paraId="63E9CF4C">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级配砾石底基层</w:t>
            </w:r>
          </w:p>
        </w:tc>
        <w:tc>
          <w:tcPr>
            <w:tcW w:w="749" w:type="dxa"/>
            <w:noWrap w:val="0"/>
            <w:vAlign w:val="center"/>
          </w:tcPr>
          <w:p w14:paraId="10907C64">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4BF8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4B4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CEF97">
            <w:pPr>
              <w:pageBreakBefore w:val="0"/>
              <w:kinsoku/>
              <w:wordWrap w:val="0"/>
              <w:bidi w:val="0"/>
              <w:spacing w:line="360" w:lineRule="atLeast"/>
              <w:jc w:val="center"/>
              <w:rPr>
                <w:rFonts w:hint="default" w:ascii="Times New Roman" w:hAnsi="Times New Roman" w:cs="Times New Roman"/>
                <w:szCs w:val="21"/>
                <w:highlight w:val="none"/>
              </w:rPr>
            </w:pPr>
          </w:p>
        </w:tc>
      </w:tr>
      <w:tr w14:paraId="197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180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AF35EA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14149F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EE88F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1E6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20074A">
            <w:pPr>
              <w:pageBreakBefore w:val="0"/>
              <w:kinsoku/>
              <w:wordWrap w:val="0"/>
              <w:bidi w:val="0"/>
              <w:spacing w:line="360" w:lineRule="atLeast"/>
              <w:jc w:val="center"/>
              <w:rPr>
                <w:rFonts w:hint="default" w:ascii="Times New Roman" w:hAnsi="Times New Roman" w:cs="Times New Roman"/>
                <w:szCs w:val="21"/>
                <w:highlight w:val="none"/>
              </w:rPr>
            </w:pPr>
          </w:p>
        </w:tc>
      </w:tr>
      <w:tr w14:paraId="112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D93FA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306-5</w:t>
            </w:r>
          </w:p>
        </w:tc>
        <w:tc>
          <w:tcPr>
            <w:tcW w:w="4732" w:type="dxa"/>
            <w:noWrap w:val="0"/>
            <w:vAlign w:val="center"/>
          </w:tcPr>
          <w:p w14:paraId="6B23CCA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搭板、埋板下级配砾石底基层</w:t>
            </w:r>
          </w:p>
        </w:tc>
        <w:tc>
          <w:tcPr>
            <w:tcW w:w="749" w:type="dxa"/>
            <w:noWrap w:val="0"/>
            <w:vAlign w:val="top"/>
          </w:tcPr>
          <w:p w14:paraId="74BF4C1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77EC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FBB7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071653">
            <w:pPr>
              <w:pageBreakBefore w:val="0"/>
              <w:kinsoku/>
              <w:wordWrap w:val="0"/>
              <w:bidi w:val="0"/>
              <w:spacing w:line="360" w:lineRule="atLeast"/>
              <w:jc w:val="center"/>
              <w:rPr>
                <w:rFonts w:hint="default" w:ascii="Times New Roman" w:hAnsi="Times New Roman" w:cs="Times New Roman"/>
                <w:szCs w:val="21"/>
                <w:highlight w:val="none"/>
              </w:rPr>
            </w:pPr>
          </w:p>
        </w:tc>
      </w:tr>
      <w:tr w14:paraId="7B8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C4166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306-6</w:t>
            </w:r>
          </w:p>
        </w:tc>
        <w:tc>
          <w:tcPr>
            <w:tcW w:w="4732" w:type="dxa"/>
            <w:noWrap w:val="0"/>
            <w:vAlign w:val="center"/>
          </w:tcPr>
          <w:p w14:paraId="21A3917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级配砾石基层</w:t>
            </w:r>
          </w:p>
        </w:tc>
        <w:tc>
          <w:tcPr>
            <w:tcW w:w="749" w:type="dxa"/>
            <w:noWrap w:val="0"/>
            <w:vAlign w:val="center"/>
          </w:tcPr>
          <w:p w14:paraId="5B603EE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75A4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4E48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964B6D">
            <w:pPr>
              <w:pageBreakBefore w:val="0"/>
              <w:kinsoku/>
              <w:wordWrap w:val="0"/>
              <w:bidi w:val="0"/>
              <w:spacing w:line="360" w:lineRule="atLeast"/>
              <w:jc w:val="center"/>
              <w:rPr>
                <w:rFonts w:hint="default" w:ascii="Times New Roman" w:hAnsi="Times New Roman" w:cs="Times New Roman"/>
                <w:szCs w:val="21"/>
                <w:highlight w:val="none"/>
              </w:rPr>
            </w:pPr>
          </w:p>
        </w:tc>
      </w:tr>
      <w:tr w14:paraId="485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3AC7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4931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34E4EB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FB3E8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906A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80E59B">
            <w:pPr>
              <w:pageBreakBefore w:val="0"/>
              <w:kinsoku/>
              <w:wordWrap w:val="0"/>
              <w:bidi w:val="0"/>
              <w:spacing w:line="360" w:lineRule="atLeast"/>
              <w:jc w:val="center"/>
              <w:rPr>
                <w:rFonts w:hint="default" w:ascii="Times New Roman" w:hAnsi="Times New Roman" w:cs="Times New Roman"/>
                <w:szCs w:val="21"/>
                <w:highlight w:val="none"/>
              </w:rPr>
            </w:pPr>
          </w:p>
        </w:tc>
      </w:tr>
      <w:tr w14:paraId="547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803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307</w:t>
            </w:r>
          </w:p>
        </w:tc>
        <w:tc>
          <w:tcPr>
            <w:tcW w:w="4732" w:type="dxa"/>
            <w:noWrap w:val="0"/>
            <w:vAlign w:val="center"/>
          </w:tcPr>
          <w:p w14:paraId="0A6E23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沥青稳定碎石基层（ATB）</w:t>
            </w:r>
          </w:p>
        </w:tc>
        <w:tc>
          <w:tcPr>
            <w:tcW w:w="749" w:type="dxa"/>
            <w:noWrap w:val="0"/>
            <w:vAlign w:val="top"/>
          </w:tcPr>
          <w:p w14:paraId="285A030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F127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BA90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D09C81">
            <w:pPr>
              <w:pageBreakBefore w:val="0"/>
              <w:kinsoku/>
              <w:wordWrap w:val="0"/>
              <w:bidi w:val="0"/>
              <w:spacing w:line="360" w:lineRule="atLeast"/>
              <w:jc w:val="center"/>
              <w:rPr>
                <w:rFonts w:hint="default" w:ascii="Times New Roman" w:hAnsi="Times New Roman" w:cs="Times New Roman"/>
                <w:szCs w:val="21"/>
                <w:highlight w:val="none"/>
              </w:rPr>
            </w:pPr>
          </w:p>
        </w:tc>
      </w:tr>
      <w:tr w14:paraId="6C2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05C19A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307-1</w:t>
            </w:r>
          </w:p>
        </w:tc>
        <w:tc>
          <w:tcPr>
            <w:tcW w:w="4732" w:type="dxa"/>
            <w:noWrap w:val="0"/>
            <w:vAlign w:val="top"/>
          </w:tcPr>
          <w:p w14:paraId="1CA9D2CD">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沥青稳定碎石基层（ATB）</w:t>
            </w:r>
          </w:p>
        </w:tc>
        <w:tc>
          <w:tcPr>
            <w:tcW w:w="749" w:type="dxa"/>
            <w:noWrap w:val="0"/>
            <w:vAlign w:val="top"/>
          </w:tcPr>
          <w:p w14:paraId="45ACF60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BC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9295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1DEA57">
            <w:pPr>
              <w:pageBreakBefore w:val="0"/>
              <w:kinsoku/>
              <w:wordWrap w:val="0"/>
              <w:bidi w:val="0"/>
              <w:spacing w:line="360" w:lineRule="atLeast"/>
              <w:jc w:val="center"/>
              <w:rPr>
                <w:rFonts w:hint="default" w:ascii="Times New Roman" w:hAnsi="Times New Roman" w:cs="Times New Roman"/>
                <w:szCs w:val="21"/>
                <w:highlight w:val="none"/>
              </w:rPr>
            </w:pPr>
          </w:p>
        </w:tc>
      </w:tr>
      <w:tr w14:paraId="245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E6D8F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3B42B5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4F686D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0CAC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9737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EEDC90">
            <w:pPr>
              <w:pageBreakBefore w:val="0"/>
              <w:kinsoku/>
              <w:wordWrap w:val="0"/>
              <w:bidi w:val="0"/>
              <w:spacing w:line="360" w:lineRule="atLeast"/>
              <w:jc w:val="center"/>
              <w:rPr>
                <w:rFonts w:hint="default" w:ascii="Times New Roman" w:hAnsi="Times New Roman" w:cs="Times New Roman"/>
                <w:szCs w:val="21"/>
                <w:highlight w:val="none"/>
              </w:rPr>
            </w:pPr>
          </w:p>
        </w:tc>
      </w:tr>
      <w:tr w14:paraId="6CF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71B3E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0668A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19BC6A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CB824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B82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7C2F4">
            <w:pPr>
              <w:pageBreakBefore w:val="0"/>
              <w:kinsoku/>
              <w:wordWrap w:val="0"/>
              <w:bidi w:val="0"/>
              <w:spacing w:line="360" w:lineRule="atLeast"/>
              <w:jc w:val="center"/>
              <w:rPr>
                <w:rFonts w:hint="default" w:ascii="Times New Roman" w:hAnsi="Times New Roman" w:cs="Times New Roman"/>
                <w:szCs w:val="21"/>
                <w:highlight w:val="none"/>
              </w:rPr>
            </w:pPr>
          </w:p>
        </w:tc>
      </w:tr>
      <w:tr w14:paraId="60E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24A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308</w:t>
            </w:r>
          </w:p>
        </w:tc>
        <w:tc>
          <w:tcPr>
            <w:tcW w:w="4732" w:type="dxa"/>
            <w:noWrap w:val="0"/>
            <w:vAlign w:val="center"/>
          </w:tcPr>
          <w:p w14:paraId="32D4668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透层和黏层</w:t>
            </w:r>
          </w:p>
        </w:tc>
        <w:tc>
          <w:tcPr>
            <w:tcW w:w="749" w:type="dxa"/>
            <w:noWrap w:val="0"/>
            <w:vAlign w:val="top"/>
          </w:tcPr>
          <w:p w14:paraId="32DA80D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5487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43B2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AD6773">
            <w:pPr>
              <w:pageBreakBefore w:val="0"/>
              <w:kinsoku/>
              <w:wordWrap w:val="0"/>
              <w:bidi w:val="0"/>
              <w:spacing w:line="360" w:lineRule="atLeast"/>
              <w:jc w:val="center"/>
              <w:rPr>
                <w:rFonts w:hint="default" w:ascii="Times New Roman" w:hAnsi="Times New Roman" w:cs="Times New Roman"/>
                <w:szCs w:val="21"/>
                <w:highlight w:val="none"/>
              </w:rPr>
            </w:pPr>
          </w:p>
        </w:tc>
      </w:tr>
      <w:tr w14:paraId="638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522827">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-1</w:t>
            </w:r>
          </w:p>
        </w:tc>
        <w:tc>
          <w:tcPr>
            <w:tcW w:w="4732" w:type="dxa"/>
            <w:noWrap w:val="0"/>
            <w:vAlign w:val="top"/>
          </w:tcPr>
          <w:p w14:paraId="03862B4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透层</w:t>
            </w:r>
          </w:p>
        </w:tc>
        <w:tc>
          <w:tcPr>
            <w:tcW w:w="749" w:type="dxa"/>
            <w:noWrap w:val="0"/>
            <w:vAlign w:val="top"/>
          </w:tcPr>
          <w:p w14:paraId="45598E8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F978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F97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98F584">
            <w:pPr>
              <w:pageBreakBefore w:val="0"/>
              <w:kinsoku/>
              <w:wordWrap w:val="0"/>
              <w:bidi w:val="0"/>
              <w:spacing w:line="360" w:lineRule="atLeast"/>
              <w:jc w:val="center"/>
              <w:rPr>
                <w:rFonts w:hint="default" w:ascii="Times New Roman" w:hAnsi="Times New Roman" w:cs="Times New Roman"/>
                <w:szCs w:val="21"/>
                <w:highlight w:val="none"/>
              </w:rPr>
            </w:pPr>
          </w:p>
        </w:tc>
      </w:tr>
      <w:tr w14:paraId="2F5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184A5">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-2</w:t>
            </w:r>
          </w:p>
        </w:tc>
        <w:tc>
          <w:tcPr>
            <w:tcW w:w="4732" w:type="dxa"/>
            <w:noWrap w:val="0"/>
            <w:vAlign w:val="top"/>
          </w:tcPr>
          <w:p w14:paraId="4B9429AC">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黏层</w:t>
            </w:r>
          </w:p>
        </w:tc>
        <w:tc>
          <w:tcPr>
            <w:tcW w:w="749" w:type="dxa"/>
            <w:noWrap w:val="0"/>
            <w:vAlign w:val="top"/>
          </w:tcPr>
          <w:p w14:paraId="15165E2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BE56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AB3A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68C3C">
            <w:pPr>
              <w:pageBreakBefore w:val="0"/>
              <w:kinsoku/>
              <w:wordWrap w:val="0"/>
              <w:bidi w:val="0"/>
              <w:spacing w:line="360" w:lineRule="atLeast"/>
              <w:jc w:val="center"/>
              <w:rPr>
                <w:rFonts w:hint="default" w:ascii="Times New Roman" w:hAnsi="Times New Roman" w:cs="Times New Roman"/>
                <w:szCs w:val="21"/>
                <w:highlight w:val="none"/>
              </w:rPr>
            </w:pPr>
          </w:p>
        </w:tc>
      </w:tr>
      <w:tr w14:paraId="3B8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CE93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309</w:t>
            </w:r>
          </w:p>
        </w:tc>
        <w:tc>
          <w:tcPr>
            <w:tcW w:w="4732" w:type="dxa"/>
            <w:noWrap w:val="0"/>
            <w:vAlign w:val="center"/>
          </w:tcPr>
          <w:p w14:paraId="7405BE4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热拌沥青混合料面层</w:t>
            </w:r>
          </w:p>
        </w:tc>
        <w:tc>
          <w:tcPr>
            <w:tcW w:w="749" w:type="dxa"/>
            <w:noWrap w:val="0"/>
            <w:vAlign w:val="top"/>
          </w:tcPr>
          <w:p w14:paraId="21424F8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1E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D18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C97CBE">
            <w:pPr>
              <w:pageBreakBefore w:val="0"/>
              <w:kinsoku/>
              <w:wordWrap w:val="0"/>
              <w:bidi w:val="0"/>
              <w:spacing w:line="360" w:lineRule="atLeast"/>
              <w:jc w:val="center"/>
              <w:rPr>
                <w:rFonts w:hint="default" w:ascii="Times New Roman" w:hAnsi="Times New Roman" w:cs="Times New Roman"/>
                <w:szCs w:val="21"/>
                <w:highlight w:val="none"/>
              </w:rPr>
            </w:pPr>
          </w:p>
        </w:tc>
      </w:tr>
      <w:tr w14:paraId="69E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7E86C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309-1</w:t>
            </w:r>
          </w:p>
        </w:tc>
        <w:tc>
          <w:tcPr>
            <w:tcW w:w="4732" w:type="dxa"/>
            <w:noWrap w:val="0"/>
            <w:vAlign w:val="top"/>
          </w:tcPr>
          <w:p w14:paraId="2011C20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细粒式沥青混凝土</w:t>
            </w:r>
          </w:p>
        </w:tc>
        <w:tc>
          <w:tcPr>
            <w:tcW w:w="749" w:type="dxa"/>
            <w:noWrap w:val="0"/>
            <w:vAlign w:val="top"/>
          </w:tcPr>
          <w:p w14:paraId="125F82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089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196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9F4C7C">
            <w:pPr>
              <w:pageBreakBefore w:val="0"/>
              <w:kinsoku/>
              <w:wordWrap w:val="0"/>
              <w:bidi w:val="0"/>
              <w:spacing w:line="360" w:lineRule="atLeast"/>
              <w:jc w:val="center"/>
              <w:rPr>
                <w:rFonts w:hint="default" w:ascii="Times New Roman" w:hAnsi="Times New Roman" w:cs="Times New Roman"/>
                <w:szCs w:val="21"/>
                <w:highlight w:val="none"/>
              </w:rPr>
            </w:pPr>
          </w:p>
        </w:tc>
      </w:tr>
      <w:tr w14:paraId="3A6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4EA17">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B9D418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C1E40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B21E0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A682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8481">
            <w:pPr>
              <w:pageBreakBefore w:val="0"/>
              <w:kinsoku/>
              <w:wordWrap w:val="0"/>
              <w:bidi w:val="0"/>
              <w:spacing w:line="360" w:lineRule="atLeast"/>
              <w:jc w:val="center"/>
              <w:rPr>
                <w:rFonts w:hint="default" w:ascii="Times New Roman" w:hAnsi="Times New Roman" w:cs="Times New Roman"/>
                <w:szCs w:val="21"/>
                <w:highlight w:val="none"/>
              </w:rPr>
            </w:pPr>
          </w:p>
        </w:tc>
      </w:tr>
      <w:tr w14:paraId="7CF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7E6E5D">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A8BAB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418071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CA39E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F3B7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BBFD71">
            <w:pPr>
              <w:pageBreakBefore w:val="0"/>
              <w:kinsoku/>
              <w:wordWrap w:val="0"/>
              <w:bidi w:val="0"/>
              <w:spacing w:line="360" w:lineRule="atLeast"/>
              <w:jc w:val="center"/>
              <w:rPr>
                <w:rFonts w:hint="default" w:ascii="Times New Roman" w:hAnsi="Times New Roman" w:cs="Times New Roman"/>
                <w:szCs w:val="21"/>
                <w:highlight w:val="none"/>
              </w:rPr>
            </w:pPr>
          </w:p>
        </w:tc>
      </w:tr>
      <w:tr w14:paraId="1F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A1F368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309-2</w:t>
            </w:r>
          </w:p>
        </w:tc>
        <w:tc>
          <w:tcPr>
            <w:tcW w:w="4732" w:type="dxa"/>
            <w:noWrap w:val="0"/>
            <w:vAlign w:val="top"/>
          </w:tcPr>
          <w:p w14:paraId="7B2923D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中粒式沥青混凝土</w:t>
            </w:r>
          </w:p>
        </w:tc>
        <w:tc>
          <w:tcPr>
            <w:tcW w:w="749" w:type="dxa"/>
            <w:noWrap w:val="0"/>
            <w:vAlign w:val="top"/>
          </w:tcPr>
          <w:p w14:paraId="0E09E40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427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5AC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992982">
            <w:pPr>
              <w:pageBreakBefore w:val="0"/>
              <w:kinsoku/>
              <w:wordWrap w:val="0"/>
              <w:bidi w:val="0"/>
              <w:spacing w:line="360" w:lineRule="atLeast"/>
              <w:jc w:val="center"/>
              <w:rPr>
                <w:rFonts w:hint="default" w:ascii="Times New Roman" w:hAnsi="Times New Roman" w:cs="Times New Roman"/>
                <w:szCs w:val="21"/>
                <w:highlight w:val="none"/>
              </w:rPr>
            </w:pPr>
          </w:p>
        </w:tc>
      </w:tr>
      <w:tr w14:paraId="60B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9CB362">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35526D7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05BD2A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E0468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8419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D3051F">
            <w:pPr>
              <w:pageBreakBefore w:val="0"/>
              <w:kinsoku/>
              <w:wordWrap w:val="0"/>
              <w:bidi w:val="0"/>
              <w:spacing w:line="360" w:lineRule="atLeast"/>
              <w:jc w:val="center"/>
              <w:rPr>
                <w:rFonts w:hint="default" w:ascii="Times New Roman" w:hAnsi="Times New Roman" w:cs="Times New Roman"/>
                <w:szCs w:val="21"/>
                <w:highlight w:val="none"/>
              </w:rPr>
            </w:pPr>
          </w:p>
        </w:tc>
      </w:tr>
      <w:tr w14:paraId="675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010DC7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489B2C5">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86014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DB491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D8D2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A88A6B">
            <w:pPr>
              <w:pageBreakBefore w:val="0"/>
              <w:kinsoku/>
              <w:wordWrap w:val="0"/>
              <w:bidi w:val="0"/>
              <w:spacing w:line="360" w:lineRule="atLeast"/>
              <w:jc w:val="center"/>
              <w:rPr>
                <w:rFonts w:hint="default" w:ascii="Times New Roman" w:hAnsi="Times New Roman" w:cs="Times New Roman"/>
                <w:szCs w:val="21"/>
                <w:highlight w:val="none"/>
              </w:rPr>
            </w:pPr>
          </w:p>
        </w:tc>
      </w:tr>
      <w:tr w14:paraId="4B2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FECC71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309-3</w:t>
            </w:r>
          </w:p>
        </w:tc>
        <w:tc>
          <w:tcPr>
            <w:tcW w:w="4732" w:type="dxa"/>
            <w:noWrap w:val="0"/>
            <w:vAlign w:val="top"/>
          </w:tcPr>
          <w:p w14:paraId="0102824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粗粒式沥青混凝土</w:t>
            </w:r>
          </w:p>
        </w:tc>
        <w:tc>
          <w:tcPr>
            <w:tcW w:w="749" w:type="dxa"/>
            <w:noWrap w:val="0"/>
            <w:vAlign w:val="top"/>
          </w:tcPr>
          <w:p w14:paraId="2F3E8D1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B197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DA7A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D5042">
            <w:pPr>
              <w:pageBreakBefore w:val="0"/>
              <w:kinsoku/>
              <w:wordWrap w:val="0"/>
              <w:bidi w:val="0"/>
              <w:spacing w:line="360" w:lineRule="atLeast"/>
              <w:jc w:val="center"/>
              <w:rPr>
                <w:rFonts w:hint="default" w:ascii="Times New Roman" w:hAnsi="Times New Roman" w:cs="Times New Roman"/>
                <w:szCs w:val="21"/>
                <w:highlight w:val="none"/>
              </w:rPr>
            </w:pPr>
          </w:p>
        </w:tc>
      </w:tr>
      <w:tr w14:paraId="597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BE1D02B">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A0FD16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5FA359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603B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0578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9C8EFE">
            <w:pPr>
              <w:pageBreakBefore w:val="0"/>
              <w:kinsoku/>
              <w:wordWrap w:val="0"/>
              <w:bidi w:val="0"/>
              <w:spacing w:line="360" w:lineRule="atLeast"/>
              <w:jc w:val="center"/>
              <w:rPr>
                <w:rFonts w:hint="default" w:ascii="Times New Roman" w:hAnsi="Times New Roman" w:cs="Times New Roman"/>
                <w:szCs w:val="21"/>
                <w:highlight w:val="none"/>
              </w:rPr>
            </w:pPr>
          </w:p>
        </w:tc>
      </w:tr>
      <w:tr w14:paraId="77C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E85285">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4D46E45F">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3BA942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78EBF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411B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6844F2">
            <w:pPr>
              <w:pageBreakBefore w:val="0"/>
              <w:kinsoku/>
              <w:wordWrap w:val="0"/>
              <w:bidi w:val="0"/>
              <w:spacing w:line="360" w:lineRule="atLeast"/>
              <w:jc w:val="center"/>
              <w:rPr>
                <w:rFonts w:hint="default" w:ascii="Times New Roman" w:hAnsi="Times New Roman" w:cs="Times New Roman"/>
                <w:szCs w:val="21"/>
                <w:highlight w:val="none"/>
              </w:rPr>
            </w:pPr>
          </w:p>
        </w:tc>
      </w:tr>
      <w:tr w14:paraId="24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897BA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310</w:t>
            </w:r>
          </w:p>
        </w:tc>
        <w:tc>
          <w:tcPr>
            <w:tcW w:w="4732" w:type="dxa"/>
            <w:noWrap w:val="0"/>
            <w:vAlign w:val="center"/>
          </w:tcPr>
          <w:p w14:paraId="29F2468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沥青表面处置与封层</w:t>
            </w:r>
          </w:p>
        </w:tc>
        <w:tc>
          <w:tcPr>
            <w:tcW w:w="749" w:type="dxa"/>
            <w:noWrap w:val="0"/>
            <w:vAlign w:val="top"/>
          </w:tcPr>
          <w:p w14:paraId="1565FC9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7146A6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6A04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5CAD7">
            <w:pPr>
              <w:pageBreakBefore w:val="0"/>
              <w:kinsoku/>
              <w:wordWrap w:val="0"/>
              <w:bidi w:val="0"/>
              <w:spacing w:line="360" w:lineRule="atLeast"/>
              <w:jc w:val="center"/>
              <w:rPr>
                <w:rFonts w:hint="default" w:ascii="Times New Roman" w:hAnsi="Times New Roman" w:cs="Times New Roman"/>
                <w:szCs w:val="21"/>
                <w:highlight w:val="none"/>
              </w:rPr>
            </w:pPr>
          </w:p>
        </w:tc>
      </w:tr>
      <w:tr w14:paraId="663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D5E295">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-1</w:t>
            </w:r>
          </w:p>
        </w:tc>
        <w:tc>
          <w:tcPr>
            <w:tcW w:w="4732" w:type="dxa"/>
            <w:noWrap w:val="0"/>
            <w:vAlign w:val="top"/>
          </w:tcPr>
          <w:p w14:paraId="284FF62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沥青表面处</w:t>
            </w:r>
            <w:r>
              <w:rPr>
                <w:rFonts w:hint="default" w:ascii="Times New Roman" w:hAnsi="Times New Roman" w:cs="Times New Roman"/>
                <w:kern w:val="0"/>
                <w:szCs w:val="21"/>
                <w:highlight w:val="none"/>
              </w:rPr>
              <w:t>置</w:t>
            </w:r>
          </w:p>
        </w:tc>
        <w:tc>
          <w:tcPr>
            <w:tcW w:w="749" w:type="dxa"/>
            <w:noWrap w:val="0"/>
            <w:vAlign w:val="top"/>
          </w:tcPr>
          <w:p w14:paraId="1E2CD7B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59545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D379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9A66B">
            <w:pPr>
              <w:pageBreakBefore w:val="0"/>
              <w:kinsoku/>
              <w:wordWrap w:val="0"/>
              <w:bidi w:val="0"/>
              <w:spacing w:line="360" w:lineRule="atLeast"/>
              <w:jc w:val="center"/>
              <w:rPr>
                <w:rFonts w:hint="default" w:ascii="Times New Roman" w:hAnsi="Times New Roman" w:cs="Times New Roman"/>
                <w:szCs w:val="21"/>
                <w:highlight w:val="none"/>
              </w:rPr>
            </w:pPr>
          </w:p>
        </w:tc>
      </w:tr>
      <w:tr w14:paraId="4C1C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BE2024">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448E3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8D25FA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76C2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F85A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AF6203">
            <w:pPr>
              <w:pageBreakBefore w:val="0"/>
              <w:kinsoku/>
              <w:wordWrap w:val="0"/>
              <w:bidi w:val="0"/>
              <w:spacing w:line="360" w:lineRule="atLeast"/>
              <w:jc w:val="center"/>
              <w:rPr>
                <w:rFonts w:hint="default" w:ascii="Times New Roman" w:hAnsi="Times New Roman" w:cs="Times New Roman"/>
                <w:szCs w:val="21"/>
                <w:highlight w:val="none"/>
              </w:rPr>
            </w:pPr>
          </w:p>
        </w:tc>
      </w:tr>
      <w:tr w14:paraId="18A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4EAE6E">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63AFF15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580447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4E8D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E3A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83C672">
            <w:pPr>
              <w:pageBreakBefore w:val="0"/>
              <w:kinsoku/>
              <w:wordWrap w:val="0"/>
              <w:bidi w:val="0"/>
              <w:spacing w:line="360" w:lineRule="atLeast"/>
              <w:jc w:val="center"/>
              <w:rPr>
                <w:rFonts w:hint="default" w:ascii="Times New Roman" w:hAnsi="Times New Roman" w:cs="Times New Roman"/>
                <w:szCs w:val="21"/>
                <w:highlight w:val="none"/>
              </w:rPr>
            </w:pPr>
          </w:p>
        </w:tc>
      </w:tr>
      <w:tr w14:paraId="038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68284D7">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-2</w:t>
            </w:r>
          </w:p>
        </w:tc>
        <w:tc>
          <w:tcPr>
            <w:tcW w:w="4732" w:type="dxa"/>
            <w:noWrap w:val="0"/>
            <w:vAlign w:val="top"/>
          </w:tcPr>
          <w:p w14:paraId="68C5BB3F">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封层</w:t>
            </w:r>
          </w:p>
        </w:tc>
        <w:tc>
          <w:tcPr>
            <w:tcW w:w="749" w:type="dxa"/>
            <w:noWrap w:val="0"/>
            <w:vAlign w:val="top"/>
          </w:tcPr>
          <w:p w14:paraId="70D276E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6640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0210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92090EF">
            <w:pPr>
              <w:pageBreakBefore w:val="0"/>
              <w:kinsoku/>
              <w:wordWrap w:val="0"/>
              <w:bidi w:val="0"/>
              <w:spacing w:line="360" w:lineRule="atLeast"/>
              <w:jc w:val="center"/>
              <w:rPr>
                <w:rFonts w:hint="default" w:ascii="Times New Roman" w:hAnsi="Times New Roman" w:cs="Times New Roman"/>
                <w:szCs w:val="21"/>
                <w:highlight w:val="none"/>
              </w:rPr>
            </w:pPr>
          </w:p>
        </w:tc>
      </w:tr>
      <w:tr w14:paraId="543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7CC0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311</w:t>
            </w:r>
          </w:p>
        </w:tc>
        <w:tc>
          <w:tcPr>
            <w:tcW w:w="4732" w:type="dxa"/>
            <w:noWrap w:val="0"/>
            <w:vAlign w:val="center"/>
          </w:tcPr>
          <w:p w14:paraId="018799F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改性沥青及改性沥青混合料</w:t>
            </w:r>
          </w:p>
        </w:tc>
        <w:tc>
          <w:tcPr>
            <w:tcW w:w="749" w:type="dxa"/>
            <w:noWrap w:val="0"/>
            <w:vAlign w:val="top"/>
          </w:tcPr>
          <w:p w14:paraId="3D3C85A5">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A35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EC4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3A764">
            <w:pPr>
              <w:pageBreakBefore w:val="0"/>
              <w:kinsoku/>
              <w:wordWrap w:val="0"/>
              <w:bidi w:val="0"/>
              <w:spacing w:line="360" w:lineRule="atLeast"/>
              <w:jc w:val="center"/>
              <w:rPr>
                <w:rFonts w:hint="default" w:ascii="Times New Roman" w:hAnsi="Times New Roman" w:cs="Times New Roman"/>
                <w:szCs w:val="21"/>
                <w:highlight w:val="none"/>
              </w:rPr>
            </w:pPr>
          </w:p>
        </w:tc>
      </w:tr>
      <w:tr w14:paraId="7A9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7E97CD">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311-1</w:t>
            </w:r>
          </w:p>
        </w:tc>
        <w:tc>
          <w:tcPr>
            <w:tcW w:w="4732" w:type="dxa"/>
            <w:noWrap w:val="0"/>
            <w:vAlign w:val="top"/>
          </w:tcPr>
          <w:p w14:paraId="44E2D9F0">
            <w:pPr>
              <w:pageBreakBefore w:val="0"/>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细粒式改性沥青混合料路面</w:t>
            </w:r>
          </w:p>
        </w:tc>
        <w:tc>
          <w:tcPr>
            <w:tcW w:w="749" w:type="dxa"/>
            <w:noWrap w:val="0"/>
            <w:vAlign w:val="top"/>
          </w:tcPr>
          <w:p w14:paraId="0B8740B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41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A424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2F08E">
            <w:pPr>
              <w:pageBreakBefore w:val="0"/>
              <w:kinsoku/>
              <w:wordWrap w:val="0"/>
              <w:bidi w:val="0"/>
              <w:spacing w:line="360" w:lineRule="atLeast"/>
              <w:jc w:val="center"/>
              <w:rPr>
                <w:rFonts w:hint="default" w:ascii="Times New Roman" w:hAnsi="Times New Roman" w:cs="Times New Roman"/>
                <w:szCs w:val="21"/>
                <w:highlight w:val="none"/>
              </w:rPr>
            </w:pPr>
          </w:p>
        </w:tc>
      </w:tr>
      <w:tr w14:paraId="74C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D8374CA">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5AB3BD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ABB95A5">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0D3A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88AF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B50B9">
            <w:pPr>
              <w:pageBreakBefore w:val="0"/>
              <w:kinsoku/>
              <w:wordWrap w:val="0"/>
              <w:bidi w:val="0"/>
              <w:spacing w:line="360" w:lineRule="atLeast"/>
              <w:jc w:val="center"/>
              <w:rPr>
                <w:rFonts w:hint="default" w:ascii="Times New Roman" w:hAnsi="Times New Roman" w:cs="Times New Roman"/>
                <w:szCs w:val="21"/>
                <w:highlight w:val="none"/>
              </w:rPr>
            </w:pPr>
          </w:p>
        </w:tc>
      </w:tr>
      <w:tr w14:paraId="115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72381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C097E0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928744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508D4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1B7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E322E4">
            <w:pPr>
              <w:pageBreakBefore w:val="0"/>
              <w:kinsoku/>
              <w:wordWrap w:val="0"/>
              <w:bidi w:val="0"/>
              <w:spacing w:line="360" w:lineRule="atLeast"/>
              <w:jc w:val="center"/>
              <w:rPr>
                <w:rFonts w:hint="default" w:ascii="Times New Roman" w:hAnsi="Times New Roman" w:cs="Times New Roman"/>
                <w:szCs w:val="21"/>
                <w:highlight w:val="none"/>
              </w:rPr>
            </w:pPr>
          </w:p>
        </w:tc>
      </w:tr>
      <w:tr w14:paraId="54E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138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311-2</w:t>
            </w:r>
          </w:p>
        </w:tc>
        <w:tc>
          <w:tcPr>
            <w:tcW w:w="4732" w:type="dxa"/>
            <w:noWrap w:val="0"/>
            <w:vAlign w:val="top"/>
          </w:tcPr>
          <w:p w14:paraId="33407BE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中粒式改性沥青混合料路面</w:t>
            </w:r>
          </w:p>
        </w:tc>
        <w:tc>
          <w:tcPr>
            <w:tcW w:w="749" w:type="dxa"/>
            <w:noWrap w:val="0"/>
            <w:vAlign w:val="top"/>
          </w:tcPr>
          <w:p w14:paraId="0EAD63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088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631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45877A">
            <w:pPr>
              <w:pageBreakBefore w:val="0"/>
              <w:kinsoku/>
              <w:wordWrap w:val="0"/>
              <w:bidi w:val="0"/>
              <w:spacing w:line="360" w:lineRule="atLeast"/>
              <w:jc w:val="center"/>
              <w:rPr>
                <w:rFonts w:hint="default" w:ascii="Times New Roman" w:hAnsi="Times New Roman" w:cs="Times New Roman"/>
                <w:szCs w:val="21"/>
                <w:highlight w:val="none"/>
              </w:rPr>
            </w:pPr>
          </w:p>
        </w:tc>
      </w:tr>
      <w:tr w14:paraId="211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EE1E8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8FBBA2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5221F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1216D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D18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5A9F97">
            <w:pPr>
              <w:pageBreakBefore w:val="0"/>
              <w:kinsoku/>
              <w:wordWrap w:val="0"/>
              <w:bidi w:val="0"/>
              <w:spacing w:line="360" w:lineRule="atLeast"/>
              <w:jc w:val="center"/>
              <w:rPr>
                <w:rFonts w:hint="default" w:ascii="Times New Roman" w:hAnsi="Times New Roman" w:cs="Times New Roman"/>
                <w:szCs w:val="21"/>
                <w:highlight w:val="none"/>
              </w:rPr>
            </w:pPr>
          </w:p>
        </w:tc>
      </w:tr>
      <w:tr w14:paraId="04A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9AA1D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8694EB0">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405496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E94A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5C3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A49C6">
            <w:pPr>
              <w:pageBreakBefore w:val="0"/>
              <w:kinsoku/>
              <w:wordWrap w:val="0"/>
              <w:bidi w:val="0"/>
              <w:spacing w:line="360" w:lineRule="atLeast"/>
              <w:jc w:val="center"/>
              <w:rPr>
                <w:rFonts w:hint="default" w:ascii="Times New Roman" w:hAnsi="Times New Roman" w:cs="Times New Roman"/>
                <w:szCs w:val="21"/>
                <w:highlight w:val="none"/>
              </w:rPr>
            </w:pPr>
          </w:p>
        </w:tc>
      </w:tr>
      <w:tr w14:paraId="59C2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6493E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311-3</w:t>
            </w:r>
          </w:p>
        </w:tc>
        <w:tc>
          <w:tcPr>
            <w:tcW w:w="4732" w:type="dxa"/>
            <w:noWrap w:val="0"/>
            <w:vAlign w:val="top"/>
          </w:tcPr>
          <w:p w14:paraId="0B85BBA8">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SMA路面</w:t>
            </w:r>
          </w:p>
        </w:tc>
        <w:tc>
          <w:tcPr>
            <w:tcW w:w="749" w:type="dxa"/>
            <w:noWrap w:val="0"/>
            <w:vAlign w:val="top"/>
          </w:tcPr>
          <w:p w14:paraId="7389D8B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C19C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B49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6B2A27">
            <w:pPr>
              <w:pageBreakBefore w:val="0"/>
              <w:kinsoku/>
              <w:wordWrap w:val="0"/>
              <w:bidi w:val="0"/>
              <w:spacing w:line="360" w:lineRule="atLeast"/>
              <w:jc w:val="center"/>
              <w:rPr>
                <w:rFonts w:hint="default" w:ascii="Times New Roman" w:hAnsi="Times New Roman" w:cs="Times New Roman"/>
                <w:szCs w:val="21"/>
                <w:highlight w:val="none"/>
              </w:rPr>
            </w:pPr>
          </w:p>
        </w:tc>
      </w:tr>
      <w:tr w14:paraId="6F7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A6042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8CCDB5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E6897C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6A4EF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96A92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8B4D">
            <w:pPr>
              <w:pageBreakBefore w:val="0"/>
              <w:kinsoku/>
              <w:wordWrap w:val="0"/>
              <w:bidi w:val="0"/>
              <w:spacing w:line="360" w:lineRule="atLeast"/>
              <w:jc w:val="center"/>
              <w:rPr>
                <w:rFonts w:hint="default" w:ascii="Times New Roman" w:hAnsi="Times New Roman" w:cs="Times New Roman"/>
                <w:szCs w:val="21"/>
                <w:highlight w:val="none"/>
              </w:rPr>
            </w:pPr>
          </w:p>
        </w:tc>
      </w:tr>
      <w:tr w14:paraId="51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A2B3FE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F1D4C6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977A5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4DFD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0789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DED5D">
            <w:pPr>
              <w:pageBreakBefore w:val="0"/>
              <w:kinsoku/>
              <w:wordWrap w:val="0"/>
              <w:bidi w:val="0"/>
              <w:spacing w:line="360" w:lineRule="atLeast"/>
              <w:jc w:val="center"/>
              <w:rPr>
                <w:rFonts w:hint="default" w:ascii="Times New Roman" w:hAnsi="Times New Roman" w:cs="Times New Roman"/>
                <w:szCs w:val="21"/>
                <w:highlight w:val="none"/>
              </w:rPr>
            </w:pPr>
          </w:p>
        </w:tc>
      </w:tr>
      <w:tr w14:paraId="191D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F9E4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312</w:t>
            </w:r>
          </w:p>
        </w:tc>
        <w:tc>
          <w:tcPr>
            <w:tcW w:w="4732" w:type="dxa"/>
            <w:noWrap w:val="0"/>
            <w:vAlign w:val="center"/>
          </w:tcPr>
          <w:p w14:paraId="6DCF9A4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水泥混凝土面板</w:t>
            </w:r>
          </w:p>
        </w:tc>
        <w:tc>
          <w:tcPr>
            <w:tcW w:w="749" w:type="dxa"/>
            <w:noWrap w:val="0"/>
            <w:vAlign w:val="center"/>
          </w:tcPr>
          <w:p w14:paraId="5F7F744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983E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8819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BBA721">
            <w:pPr>
              <w:pageBreakBefore w:val="0"/>
              <w:kinsoku/>
              <w:wordWrap w:val="0"/>
              <w:bidi w:val="0"/>
              <w:spacing w:line="360" w:lineRule="atLeast"/>
              <w:jc w:val="center"/>
              <w:rPr>
                <w:rFonts w:hint="default" w:ascii="Times New Roman" w:hAnsi="Times New Roman" w:cs="Times New Roman"/>
                <w:szCs w:val="21"/>
                <w:highlight w:val="none"/>
              </w:rPr>
            </w:pPr>
          </w:p>
        </w:tc>
      </w:tr>
      <w:tr w14:paraId="187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2C7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312-1</w:t>
            </w:r>
          </w:p>
        </w:tc>
        <w:tc>
          <w:tcPr>
            <w:tcW w:w="4732" w:type="dxa"/>
            <w:noWrap w:val="0"/>
            <w:vAlign w:val="center"/>
          </w:tcPr>
          <w:p w14:paraId="24A2D1E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水泥混凝土面板</w:t>
            </w:r>
          </w:p>
        </w:tc>
        <w:tc>
          <w:tcPr>
            <w:tcW w:w="749" w:type="dxa"/>
            <w:noWrap w:val="0"/>
            <w:vAlign w:val="center"/>
          </w:tcPr>
          <w:p w14:paraId="4836877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932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4631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035BD1">
            <w:pPr>
              <w:pageBreakBefore w:val="0"/>
              <w:kinsoku/>
              <w:wordWrap w:val="0"/>
              <w:bidi w:val="0"/>
              <w:spacing w:line="360" w:lineRule="atLeast"/>
              <w:jc w:val="center"/>
              <w:rPr>
                <w:rFonts w:hint="default" w:ascii="Times New Roman" w:hAnsi="Times New Roman" w:cs="Times New Roman"/>
                <w:szCs w:val="21"/>
                <w:highlight w:val="none"/>
              </w:rPr>
            </w:pPr>
          </w:p>
        </w:tc>
      </w:tr>
      <w:tr w14:paraId="3E8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2B78C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32D42FC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4D6C58D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6E9E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983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FDB305">
            <w:pPr>
              <w:pageBreakBefore w:val="0"/>
              <w:kinsoku/>
              <w:wordWrap w:val="0"/>
              <w:bidi w:val="0"/>
              <w:spacing w:line="360" w:lineRule="atLeast"/>
              <w:jc w:val="center"/>
              <w:rPr>
                <w:rFonts w:hint="default" w:ascii="Times New Roman" w:hAnsi="Times New Roman" w:cs="Times New Roman"/>
                <w:szCs w:val="21"/>
                <w:highlight w:val="none"/>
              </w:rPr>
            </w:pPr>
          </w:p>
        </w:tc>
      </w:tr>
      <w:tr w14:paraId="5AE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A493F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4E9E7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789559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B1AF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CB99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7B5D85">
            <w:pPr>
              <w:pageBreakBefore w:val="0"/>
              <w:kinsoku/>
              <w:wordWrap w:val="0"/>
              <w:bidi w:val="0"/>
              <w:spacing w:line="360" w:lineRule="atLeast"/>
              <w:jc w:val="center"/>
              <w:rPr>
                <w:rFonts w:hint="default" w:ascii="Times New Roman" w:hAnsi="Times New Roman" w:cs="Times New Roman"/>
                <w:szCs w:val="21"/>
                <w:highlight w:val="none"/>
              </w:rPr>
            </w:pPr>
          </w:p>
        </w:tc>
      </w:tr>
      <w:tr w14:paraId="378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4E16D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312-2</w:t>
            </w:r>
          </w:p>
        </w:tc>
        <w:tc>
          <w:tcPr>
            <w:tcW w:w="4732" w:type="dxa"/>
            <w:noWrap w:val="0"/>
            <w:vAlign w:val="center"/>
          </w:tcPr>
          <w:p w14:paraId="0149522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749" w:type="dxa"/>
            <w:noWrap w:val="0"/>
            <w:vAlign w:val="center"/>
          </w:tcPr>
          <w:p w14:paraId="4925FF8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FA3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64B7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438CF7">
            <w:pPr>
              <w:pageBreakBefore w:val="0"/>
              <w:kinsoku/>
              <w:wordWrap w:val="0"/>
              <w:bidi w:val="0"/>
              <w:spacing w:line="360" w:lineRule="atLeast"/>
              <w:jc w:val="center"/>
              <w:rPr>
                <w:rFonts w:hint="default" w:ascii="Times New Roman" w:hAnsi="Times New Roman" w:cs="Times New Roman"/>
                <w:szCs w:val="21"/>
                <w:highlight w:val="none"/>
              </w:rPr>
            </w:pPr>
          </w:p>
        </w:tc>
      </w:tr>
      <w:tr w14:paraId="123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9A7CC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23E819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center"/>
          </w:tcPr>
          <w:p w14:paraId="5AC1423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270A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93D5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30185">
            <w:pPr>
              <w:pageBreakBefore w:val="0"/>
              <w:kinsoku/>
              <w:wordWrap w:val="0"/>
              <w:bidi w:val="0"/>
              <w:spacing w:line="360" w:lineRule="atLeast"/>
              <w:jc w:val="center"/>
              <w:rPr>
                <w:rFonts w:hint="default" w:ascii="Times New Roman" w:hAnsi="Times New Roman" w:cs="Times New Roman"/>
                <w:szCs w:val="21"/>
                <w:highlight w:val="none"/>
              </w:rPr>
            </w:pPr>
          </w:p>
        </w:tc>
      </w:tr>
      <w:tr w14:paraId="21E3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9FD2C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990DAB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center"/>
          </w:tcPr>
          <w:p w14:paraId="3ECEC9F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1BAC0D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2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F7459">
            <w:pPr>
              <w:pageBreakBefore w:val="0"/>
              <w:kinsoku/>
              <w:wordWrap w:val="0"/>
              <w:bidi w:val="0"/>
              <w:spacing w:line="360" w:lineRule="atLeast"/>
              <w:jc w:val="center"/>
              <w:rPr>
                <w:rFonts w:hint="default" w:ascii="Times New Roman" w:hAnsi="Times New Roman" w:cs="Times New Roman"/>
                <w:szCs w:val="21"/>
                <w:highlight w:val="none"/>
              </w:rPr>
            </w:pPr>
          </w:p>
        </w:tc>
      </w:tr>
      <w:tr w14:paraId="685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54D0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313</w:t>
            </w:r>
          </w:p>
        </w:tc>
        <w:tc>
          <w:tcPr>
            <w:tcW w:w="4732" w:type="dxa"/>
            <w:noWrap w:val="0"/>
            <w:vAlign w:val="center"/>
          </w:tcPr>
          <w:p w14:paraId="7AE5049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路肩培土、中央分隔带回填土、土路肩加固及路缘石</w:t>
            </w:r>
          </w:p>
        </w:tc>
        <w:tc>
          <w:tcPr>
            <w:tcW w:w="749" w:type="dxa"/>
            <w:noWrap w:val="0"/>
            <w:vAlign w:val="top"/>
          </w:tcPr>
          <w:p w14:paraId="44DC24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89461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343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D5E532">
            <w:pPr>
              <w:pageBreakBefore w:val="0"/>
              <w:kinsoku/>
              <w:wordWrap w:val="0"/>
              <w:bidi w:val="0"/>
              <w:spacing w:line="360" w:lineRule="atLeast"/>
              <w:jc w:val="center"/>
              <w:rPr>
                <w:rFonts w:hint="default" w:ascii="Times New Roman" w:hAnsi="Times New Roman" w:cs="Times New Roman"/>
                <w:szCs w:val="21"/>
                <w:highlight w:val="none"/>
              </w:rPr>
            </w:pPr>
          </w:p>
        </w:tc>
      </w:tr>
      <w:tr w14:paraId="501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76D2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313-1</w:t>
            </w:r>
          </w:p>
        </w:tc>
        <w:tc>
          <w:tcPr>
            <w:tcW w:w="4732" w:type="dxa"/>
            <w:noWrap w:val="0"/>
            <w:vAlign w:val="top"/>
          </w:tcPr>
          <w:p w14:paraId="60C4A34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路肩培土</w:t>
            </w:r>
          </w:p>
        </w:tc>
        <w:tc>
          <w:tcPr>
            <w:tcW w:w="749" w:type="dxa"/>
            <w:noWrap w:val="0"/>
            <w:vAlign w:val="top"/>
          </w:tcPr>
          <w:p w14:paraId="0E032E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9DB30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84D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A96297">
            <w:pPr>
              <w:pageBreakBefore w:val="0"/>
              <w:kinsoku/>
              <w:wordWrap w:val="0"/>
              <w:bidi w:val="0"/>
              <w:spacing w:line="360" w:lineRule="atLeast"/>
              <w:jc w:val="center"/>
              <w:rPr>
                <w:rFonts w:hint="default" w:ascii="Times New Roman" w:hAnsi="Times New Roman" w:cs="Times New Roman"/>
                <w:szCs w:val="21"/>
                <w:highlight w:val="none"/>
              </w:rPr>
            </w:pPr>
          </w:p>
        </w:tc>
      </w:tr>
      <w:tr w14:paraId="7E3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7797E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313-2</w:t>
            </w:r>
          </w:p>
        </w:tc>
        <w:tc>
          <w:tcPr>
            <w:tcW w:w="4732" w:type="dxa"/>
            <w:noWrap w:val="0"/>
            <w:vAlign w:val="top"/>
          </w:tcPr>
          <w:p w14:paraId="33C346F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中央分隔带回填土</w:t>
            </w:r>
          </w:p>
        </w:tc>
        <w:tc>
          <w:tcPr>
            <w:tcW w:w="749" w:type="dxa"/>
            <w:noWrap w:val="0"/>
            <w:vAlign w:val="top"/>
          </w:tcPr>
          <w:p w14:paraId="3E3413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CB39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D3DF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3A49BC">
            <w:pPr>
              <w:pageBreakBefore w:val="0"/>
              <w:kinsoku/>
              <w:wordWrap w:val="0"/>
              <w:bidi w:val="0"/>
              <w:spacing w:line="360" w:lineRule="atLeast"/>
              <w:jc w:val="center"/>
              <w:rPr>
                <w:rFonts w:hint="default" w:ascii="Times New Roman" w:hAnsi="Times New Roman" w:cs="Times New Roman"/>
                <w:szCs w:val="21"/>
                <w:highlight w:val="none"/>
              </w:rPr>
            </w:pPr>
          </w:p>
        </w:tc>
      </w:tr>
      <w:tr w14:paraId="439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5C98C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313-3</w:t>
            </w:r>
          </w:p>
        </w:tc>
        <w:tc>
          <w:tcPr>
            <w:tcW w:w="4732" w:type="dxa"/>
            <w:noWrap w:val="0"/>
            <w:vAlign w:val="top"/>
          </w:tcPr>
          <w:p w14:paraId="36D39FD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现浇混凝土加固土路肩</w:t>
            </w:r>
          </w:p>
        </w:tc>
        <w:tc>
          <w:tcPr>
            <w:tcW w:w="749" w:type="dxa"/>
            <w:noWrap w:val="0"/>
            <w:vAlign w:val="top"/>
          </w:tcPr>
          <w:p w14:paraId="3A2CCF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3DC11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D73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7F0A7A">
            <w:pPr>
              <w:pageBreakBefore w:val="0"/>
              <w:kinsoku/>
              <w:wordWrap w:val="0"/>
              <w:bidi w:val="0"/>
              <w:spacing w:line="360" w:lineRule="atLeast"/>
              <w:jc w:val="center"/>
              <w:rPr>
                <w:rFonts w:hint="default" w:ascii="Times New Roman" w:hAnsi="Times New Roman" w:cs="Times New Roman"/>
                <w:szCs w:val="21"/>
                <w:highlight w:val="none"/>
              </w:rPr>
            </w:pPr>
          </w:p>
        </w:tc>
      </w:tr>
      <w:tr w14:paraId="198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1EEC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313-4</w:t>
            </w:r>
          </w:p>
        </w:tc>
        <w:tc>
          <w:tcPr>
            <w:tcW w:w="4732" w:type="dxa"/>
            <w:noWrap w:val="0"/>
            <w:vAlign w:val="top"/>
          </w:tcPr>
          <w:p w14:paraId="4892ACC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混凝土预制块加固土路肩</w:t>
            </w:r>
          </w:p>
        </w:tc>
        <w:tc>
          <w:tcPr>
            <w:tcW w:w="749" w:type="dxa"/>
            <w:noWrap w:val="0"/>
            <w:vAlign w:val="top"/>
          </w:tcPr>
          <w:p w14:paraId="6D3494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40220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1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97DA72">
            <w:pPr>
              <w:pageBreakBefore w:val="0"/>
              <w:kinsoku/>
              <w:wordWrap w:val="0"/>
              <w:bidi w:val="0"/>
              <w:spacing w:line="360" w:lineRule="atLeast"/>
              <w:jc w:val="center"/>
              <w:rPr>
                <w:rFonts w:hint="default" w:ascii="Times New Roman" w:hAnsi="Times New Roman" w:cs="Times New Roman"/>
                <w:szCs w:val="21"/>
                <w:highlight w:val="none"/>
              </w:rPr>
            </w:pPr>
          </w:p>
        </w:tc>
      </w:tr>
      <w:tr w14:paraId="50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ACFC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313-5</w:t>
            </w:r>
          </w:p>
        </w:tc>
        <w:tc>
          <w:tcPr>
            <w:tcW w:w="4732" w:type="dxa"/>
            <w:noWrap w:val="0"/>
            <w:vAlign w:val="top"/>
          </w:tcPr>
          <w:p w14:paraId="4F0A50A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混凝土预制块路缘石</w:t>
            </w:r>
          </w:p>
        </w:tc>
        <w:tc>
          <w:tcPr>
            <w:tcW w:w="749" w:type="dxa"/>
            <w:noWrap w:val="0"/>
            <w:vAlign w:val="top"/>
          </w:tcPr>
          <w:p w14:paraId="65310C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C486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923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144AF2">
            <w:pPr>
              <w:pageBreakBefore w:val="0"/>
              <w:kinsoku/>
              <w:wordWrap w:val="0"/>
              <w:bidi w:val="0"/>
              <w:spacing w:line="360" w:lineRule="atLeast"/>
              <w:jc w:val="center"/>
              <w:rPr>
                <w:rFonts w:hint="default" w:ascii="Times New Roman" w:hAnsi="Times New Roman" w:cs="Times New Roman"/>
                <w:szCs w:val="21"/>
                <w:highlight w:val="none"/>
              </w:rPr>
            </w:pPr>
          </w:p>
        </w:tc>
      </w:tr>
      <w:tr w14:paraId="5C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FB49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314</w:t>
            </w:r>
          </w:p>
        </w:tc>
        <w:tc>
          <w:tcPr>
            <w:tcW w:w="4732" w:type="dxa"/>
            <w:noWrap w:val="0"/>
            <w:vAlign w:val="center"/>
          </w:tcPr>
          <w:p w14:paraId="4A3047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路面及中央分隔带排水</w:t>
            </w:r>
          </w:p>
        </w:tc>
        <w:tc>
          <w:tcPr>
            <w:tcW w:w="749" w:type="dxa"/>
            <w:noWrap w:val="0"/>
            <w:vAlign w:val="center"/>
          </w:tcPr>
          <w:p w14:paraId="78F609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C931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C685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FA709D">
            <w:pPr>
              <w:pageBreakBefore w:val="0"/>
              <w:kinsoku/>
              <w:wordWrap w:val="0"/>
              <w:bidi w:val="0"/>
              <w:spacing w:line="360" w:lineRule="atLeast"/>
              <w:jc w:val="center"/>
              <w:rPr>
                <w:rFonts w:hint="default" w:ascii="Times New Roman" w:hAnsi="Times New Roman" w:cs="Times New Roman"/>
                <w:szCs w:val="21"/>
                <w:highlight w:val="none"/>
              </w:rPr>
            </w:pPr>
          </w:p>
        </w:tc>
      </w:tr>
      <w:tr w14:paraId="0AC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FC8D3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314-1</w:t>
            </w:r>
          </w:p>
        </w:tc>
        <w:tc>
          <w:tcPr>
            <w:tcW w:w="4732" w:type="dxa"/>
            <w:noWrap w:val="0"/>
            <w:vAlign w:val="center"/>
          </w:tcPr>
          <w:p w14:paraId="7F21FF5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排水管</w:t>
            </w:r>
          </w:p>
        </w:tc>
        <w:tc>
          <w:tcPr>
            <w:tcW w:w="749" w:type="dxa"/>
            <w:noWrap w:val="0"/>
            <w:vAlign w:val="center"/>
          </w:tcPr>
          <w:p w14:paraId="101039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7CACA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0EF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298E2F">
            <w:pPr>
              <w:pageBreakBefore w:val="0"/>
              <w:kinsoku/>
              <w:wordWrap w:val="0"/>
              <w:bidi w:val="0"/>
              <w:spacing w:line="360" w:lineRule="atLeast"/>
              <w:jc w:val="center"/>
              <w:rPr>
                <w:rFonts w:hint="default" w:ascii="Times New Roman" w:hAnsi="Times New Roman" w:cs="Times New Roman"/>
                <w:szCs w:val="21"/>
                <w:highlight w:val="none"/>
              </w:rPr>
            </w:pPr>
          </w:p>
        </w:tc>
      </w:tr>
      <w:tr w14:paraId="745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801F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314-2</w:t>
            </w:r>
          </w:p>
        </w:tc>
        <w:tc>
          <w:tcPr>
            <w:tcW w:w="4732" w:type="dxa"/>
            <w:noWrap w:val="0"/>
            <w:vAlign w:val="center"/>
          </w:tcPr>
          <w:p w14:paraId="1F25526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纵向雨水沟（管）</w:t>
            </w:r>
          </w:p>
        </w:tc>
        <w:tc>
          <w:tcPr>
            <w:tcW w:w="749" w:type="dxa"/>
            <w:noWrap w:val="0"/>
            <w:vAlign w:val="center"/>
          </w:tcPr>
          <w:p w14:paraId="1B4A271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9A27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899F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F6759E">
            <w:pPr>
              <w:pageBreakBefore w:val="0"/>
              <w:kinsoku/>
              <w:wordWrap w:val="0"/>
              <w:bidi w:val="0"/>
              <w:spacing w:line="360" w:lineRule="atLeast"/>
              <w:jc w:val="center"/>
              <w:rPr>
                <w:rFonts w:hint="default" w:ascii="Times New Roman" w:hAnsi="Times New Roman" w:cs="Times New Roman"/>
                <w:szCs w:val="21"/>
                <w:highlight w:val="none"/>
              </w:rPr>
            </w:pPr>
          </w:p>
        </w:tc>
      </w:tr>
      <w:tr w14:paraId="6FB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675B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314-3</w:t>
            </w:r>
          </w:p>
        </w:tc>
        <w:tc>
          <w:tcPr>
            <w:tcW w:w="4732" w:type="dxa"/>
            <w:noWrap w:val="0"/>
            <w:vAlign w:val="center"/>
          </w:tcPr>
          <w:p w14:paraId="5B4523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集水井 </w:t>
            </w:r>
          </w:p>
        </w:tc>
        <w:tc>
          <w:tcPr>
            <w:tcW w:w="749" w:type="dxa"/>
            <w:noWrap w:val="0"/>
            <w:vAlign w:val="center"/>
          </w:tcPr>
          <w:p w14:paraId="1F59A06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4ED0E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84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FD00F9">
            <w:pPr>
              <w:pageBreakBefore w:val="0"/>
              <w:kinsoku/>
              <w:wordWrap w:val="0"/>
              <w:bidi w:val="0"/>
              <w:spacing w:line="360" w:lineRule="atLeast"/>
              <w:jc w:val="center"/>
              <w:rPr>
                <w:rFonts w:hint="default" w:ascii="Times New Roman" w:hAnsi="Times New Roman" w:cs="Times New Roman"/>
                <w:szCs w:val="21"/>
                <w:highlight w:val="none"/>
              </w:rPr>
            </w:pPr>
          </w:p>
        </w:tc>
      </w:tr>
      <w:tr w14:paraId="790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52186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314-4</w:t>
            </w:r>
          </w:p>
        </w:tc>
        <w:tc>
          <w:tcPr>
            <w:tcW w:w="4732" w:type="dxa"/>
            <w:noWrap w:val="0"/>
            <w:vAlign w:val="center"/>
          </w:tcPr>
          <w:p w14:paraId="5ECA0E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中央分隔带渗沟</w:t>
            </w:r>
          </w:p>
        </w:tc>
        <w:tc>
          <w:tcPr>
            <w:tcW w:w="749" w:type="dxa"/>
            <w:noWrap w:val="0"/>
            <w:vAlign w:val="center"/>
          </w:tcPr>
          <w:p w14:paraId="491A2D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FC4AC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02E4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23295">
            <w:pPr>
              <w:pageBreakBefore w:val="0"/>
              <w:kinsoku/>
              <w:wordWrap w:val="0"/>
              <w:bidi w:val="0"/>
              <w:spacing w:line="360" w:lineRule="atLeast"/>
              <w:jc w:val="center"/>
              <w:rPr>
                <w:rFonts w:hint="default" w:ascii="Times New Roman" w:hAnsi="Times New Roman" w:cs="Times New Roman"/>
                <w:szCs w:val="21"/>
                <w:highlight w:val="none"/>
              </w:rPr>
            </w:pPr>
          </w:p>
        </w:tc>
      </w:tr>
      <w:tr w14:paraId="63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F91A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314-5</w:t>
            </w:r>
          </w:p>
        </w:tc>
        <w:tc>
          <w:tcPr>
            <w:tcW w:w="4732" w:type="dxa"/>
            <w:noWrap w:val="0"/>
            <w:vAlign w:val="center"/>
          </w:tcPr>
          <w:p w14:paraId="74EAFB3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沥青油毡防水层</w:t>
            </w:r>
          </w:p>
        </w:tc>
        <w:tc>
          <w:tcPr>
            <w:tcW w:w="749" w:type="dxa"/>
            <w:noWrap w:val="0"/>
            <w:vAlign w:val="top"/>
          </w:tcPr>
          <w:p w14:paraId="76E62E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C9B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15D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590EF2">
            <w:pPr>
              <w:pageBreakBefore w:val="0"/>
              <w:kinsoku/>
              <w:wordWrap w:val="0"/>
              <w:bidi w:val="0"/>
              <w:spacing w:line="360" w:lineRule="atLeast"/>
              <w:jc w:val="center"/>
              <w:rPr>
                <w:rFonts w:hint="default" w:ascii="Times New Roman" w:hAnsi="Times New Roman" w:cs="Times New Roman"/>
                <w:szCs w:val="21"/>
                <w:highlight w:val="none"/>
              </w:rPr>
            </w:pPr>
          </w:p>
        </w:tc>
      </w:tr>
      <w:tr w14:paraId="022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DEE04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314-6</w:t>
            </w:r>
          </w:p>
        </w:tc>
        <w:tc>
          <w:tcPr>
            <w:tcW w:w="4732" w:type="dxa"/>
            <w:noWrap w:val="0"/>
            <w:vAlign w:val="center"/>
          </w:tcPr>
          <w:p w14:paraId="1B26251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路肩排水沟</w:t>
            </w:r>
          </w:p>
        </w:tc>
        <w:tc>
          <w:tcPr>
            <w:tcW w:w="749" w:type="dxa"/>
            <w:noWrap w:val="0"/>
            <w:vAlign w:val="center"/>
          </w:tcPr>
          <w:p w14:paraId="378C0BA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1621E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01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477F6E">
            <w:pPr>
              <w:pageBreakBefore w:val="0"/>
              <w:kinsoku/>
              <w:wordWrap w:val="0"/>
              <w:bidi w:val="0"/>
              <w:spacing w:line="360" w:lineRule="atLeast"/>
              <w:jc w:val="center"/>
              <w:rPr>
                <w:rFonts w:hint="default" w:ascii="Times New Roman" w:hAnsi="Times New Roman" w:cs="Times New Roman"/>
                <w:szCs w:val="21"/>
                <w:highlight w:val="none"/>
              </w:rPr>
            </w:pPr>
          </w:p>
        </w:tc>
      </w:tr>
      <w:tr w14:paraId="476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ACDA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314-7</w:t>
            </w:r>
          </w:p>
        </w:tc>
        <w:tc>
          <w:tcPr>
            <w:tcW w:w="4732" w:type="dxa"/>
            <w:noWrap w:val="0"/>
            <w:vAlign w:val="center"/>
          </w:tcPr>
          <w:p w14:paraId="1E78DCD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拦水带</w:t>
            </w:r>
          </w:p>
        </w:tc>
        <w:tc>
          <w:tcPr>
            <w:tcW w:w="749" w:type="dxa"/>
            <w:noWrap w:val="0"/>
            <w:vAlign w:val="center"/>
          </w:tcPr>
          <w:p w14:paraId="6A7E3F4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D599F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31E3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E1E3A">
            <w:pPr>
              <w:pageBreakBefore w:val="0"/>
              <w:kinsoku/>
              <w:wordWrap w:val="0"/>
              <w:bidi w:val="0"/>
              <w:spacing w:line="360" w:lineRule="atLeast"/>
              <w:jc w:val="center"/>
              <w:rPr>
                <w:rFonts w:hint="default" w:ascii="Times New Roman" w:hAnsi="Times New Roman" w:cs="Times New Roman"/>
                <w:szCs w:val="21"/>
                <w:highlight w:val="none"/>
              </w:rPr>
            </w:pPr>
          </w:p>
        </w:tc>
      </w:tr>
      <w:tr w14:paraId="53C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688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07864D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沥青混凝土拦水带</w:t>
            </w:r>
          </w:p>
        </w:tc>
        <w:tc>
          <w:tcPr>
            <w:tcW w:w="749" w:type="dxa"/>
            <w:noWrap w:val="0"/>
            <w:vAlign w:val="center"/>
          </w:tcPr>
          <w:p w14:paraId="43DE053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C0DA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0BAE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EF0986">
            <w:pPr>
              <w:pageBreakBefore w:val="0"/>
              <w:kinsoku/>
              <w:wordWrap w:val="0"/>
              <w:bidi w:val="0"/>
              <w:spacing w:line="360" w:lineRule="atLeast"/>
              <w:jc w:val="center"/>
              <w:rPr>
                <w:rFonts w:hint="default" w:ascii="Times New Roman" w:hAnsi="Times New Roman" w:cs="Times New Roman"/>
                <w:szCs w:val="21"/>
                <w:highlight w:val="none"/>
              </w:rPr>
            </w:pPr>
          </w:p>
        </w:tc>
      </w:tr>
      <w:tr w14:paraId="51C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60163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2D5FA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水泥混凝土拦水带</w:t>
            </w:r>
          </w:p>
        </w:tc>
        <w:tc>
          <w:tcPr>
            <w:tcW w:w="749" w:type="dxa"/>
            <w:noWrap w:val="0"/>
            <w:vAlign w:val="center"/>
          </w:tcPr>
          <w:p w14:paraId="0A883E1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8B142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E21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244A9A">
            <w:pPr>
              <w:pageBreakBefore w:val="0"/>
              <w:kinsoku/>
              <w:wordWrap w:val="0"/>
              <w:bidi w:val="0"/>
              <w:spacing w:line="360" w:lineRule="atLeast"/>
              <w:jc w:val="center"/>
              <w:rPr>
                <w:rFonts w:hint="default" w:ascii="Times New Roman" w:hAnsi="Times New Roman" w:cs="Times New Roman"/>
                <w:szCs w:val="21"/>
                <w:highlight w:val="none"/>
              </w:rPr>
            </w:pPr>
          </w:p>
        </w:tc>
      </w:tr>
      <w:tr w14:paraId="18D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0523D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1040AC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00D8060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3B26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DF45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A37629">
            <w:pPr>
              <w:pageBreakBefore w:val="0"/>
              <w:kinsoku/>
              <w:wordWrap w:val="0"/>
              <w:bidi w:val="0"/>
              <w:spacing w:line="360" w:lineRule="atLeast"/>
              <w:jc w:val="center"/>
              <w:rPr>
                <w:rFonts w:hint="default" w:ascii="Times New Roman" w:hAnsi="Times New Roman" w:cs="Times New Roman"/>
                <w:szCs w:val="21"/>
                <w:highlight w:val="none"/>
              </w:rPr>
            </w:pPr>
          </w:p>
        </w:tc>
      </w:tr>
      <w:tr w14:paraId="1A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7C59C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36F5BA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7635F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391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DD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528B75">
            <w:pPr>
              <w:pageBreakBefore w:val="0"/>
              <w:kinsoku/>
              <w:wordWrap w:val="0"/>
              <w:bidi w:val="0"/>
              <w:spacing w:line="360" w:lineRule="atLeast"/>
              <w:jc w:val="center"/>
              <w:rPr>
                <w:rFonts w:hint="default" w:ascii="Times New Roman" w:hAnsi="Times New Roman" w:cs="Times New Roman"/>
                <w:szCs w:val="21"/>
                <w:highlight w:val="none"/>
              </w:rPr>
            </w:pPr>
          </w:p>
        </w:tc>
      </w:tr>
      <w:tr w14:paraId="5DE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A5238B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清单第300章合计  人民币</w:t>
            </w:r>
            <w:r>
              <w:rPr>
                <w:rFonts w:hint="default" w:ascii="Times New Roman" w:hAnsi="Times New Roman" w:cs="Times New Roman"/>
                <w:bCs/>
                <w:kern w:val="0"/>
                <w:szCs w:val="21"/>
                <w:highlight w:val="none"/>
                <w:u w:val="single"/>
              </w:rPr>
              <w:t xml:space="preserve">                    </w:t>
            </w:r>
          </w:p>
        </w:tc>
      </w:tr>
    </w:tbl>
    <w:p w14:paraId="403EBB6A">
      <w:pPr>
        <w:pageBreakBefore w:val="0"/>
        <w:widowControl/>
        <w:kinsoku/>
        <w:wordWrap w:val="0"/>
        <w:bidi w:val="0"/>
        <w:spacing w:line="360" w:lineRule="atLeast"/>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74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4ABD79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245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61EEF4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5F4AF211">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5D885D4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E38AF5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603CE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E809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DB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A169B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w:t>
            </w:r>
          </w:p>
        </w:tc>
        <w:tc>
          <w:tcPr>
            <w:tcW w:w="4732" w:type="dxa"/>
            <w:tcBorders>
              <w:top w:val="single" w:color="auto" w:sz="4" w:space="0"/>
              <w:left w:val="single" w:color="auto" w:sz="4" w:space="0"/>
              <w:right w:val="single" w:color="auto" w:sz="4" w:space="0"/>
            </w:tcBorders>
            <w:noWrap w:val="0"/>
            <w:vAlign w:val="center"/>
          </w:tcPr>
          <w:p w14:paraId="3D2F01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通则</w:t>
            </w:r>
          </w:p>
        </w:tc>
        <w:tc>
          <w:tcPr>
            <w:tcW w:w="749" w:type="dxa"/>
            <w:tcBorders>
              <w:top w:val="single" w:color="auto" w:sz="4" w:space="0"/>
              <w:left w:val="single" w:color="auto" w:sz="4" w:space="0"/>
              <w:right w:val="single" w:color="auto" w:sz="4" w:space="0"/>
            </w:tcBorders>
            <w:noWrap w:val="0"/>
            <w:vAlign w:val="top"/>
          </w:tcPr>
          <w:p w14:paraId="5080E96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C9951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889E9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917EACE">
            <w:pPr>
              <w:pageBreakBefore w:val="0"/>
              <w:kinsoku/>
              <w:wordWrap w:val="0"/>
              <w:bidi w:val="0"/>
              <w:spacing w:line="360" w:lineRule="atLeast"/>
              <w:jc w:val="center"/>
              <w:rPr>
                <w:rFonts w:hint="default" w:ascii="Times New Roman" w:hAnsi="Times New Roman" w:cs="Times New Roman"/>
                <w:szCs w:val="21"/>
                <w:highlight w:val="none"/>
              </w:rPr>
            </w:pPr>
          </w:p>
        </w:tc>
      </w:tr>
      <w:tr w14:paraId="2131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7B5F63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1-1</w:t>
            </w:r>
          </w:p>
        </w:tc>
        <w:tc>
          <w:tcPr>
            <w:tcW w:w="4732" w:type="dxa"/>
            <w:tcBorders>
              <w:top w:val="single" w:color="auto" w:sz="4" w:space="0"/>
              <w:left w:val="single" w:color="auto" w:sz="4" w:space="0"/>
              <w:right w:val="single" w:color="auto" w:sz="4" w:space="0"/>
            </w:tcBorders>
            <w:noWrap w:val="0"/>
            <w:vAlign w:val="top"/>
          </w:tcPr>
          <w:p w14:paraId="011ABC4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桥梁荷载试验（暂估价）</w:t>
            </w:r>
          </w:p>
        </w:tc>
        <w:tc>
          <w:tcPr>
            <w:tcW w:w="749" w:type="dxa"/>
            <w:tcBorders>
              <w:top w:val="single" w:color="auto" w:sz="4" w:space="0"/>
              <w:left w:val="single" w:color="auto" w:sz="4" w:space="0"/>
              <w:right w:val="single" w:color="auto" w:sz="4" w:space="0"/>
            </w:tcBorders>
            <w:noWrap w:val="0"/>
            <w:vAlign w:val="top"/>
          </w:tcPr>
          <w:p w14:paraId="787B661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33E80F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70092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29CEE09">
            <w:pPr>
              <w:pageBreakBefore w:val="0"/>
              <w:kinsoku/>
              <w:wordWrap w:val="0"/>
              <w:bidi w:val="0"/>
              <w:spacing w:line="360" w:lineRule="atLeast"/>
              <w:jc w:val="center"/>
              <w:rPr>
                <w:rFonts w:hint="default" w:ascii="Times New Roman" w:hAnsi="Times New Roman" w:cs="Times New Roman"/>
                <w:szCs w:val="21"/>
                <w:highlight w:val="none"/>
              </w:rPr>
            </w:pPr>
          </w:p>
        </w:tc>
      </w:tr>
      <w:tr w14:paraId="5F51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B23B9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401-2</w:t>
            </w:r>
          </w:p>
        </w:tc>
        <w:tc>
          <w:tcPr>
            <w:tcW w:w="4732" w:type="dxa"/>
            <w:noWrap w:val="0"/>
            <w:vAlign w:val="center"/>
          </w:tcPr>
          <w:p w14:paraId="190AE34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桥梁施工监控（</w:t>
            </w:r>
            <w:r>
              <w:rPr>
                <w:rFonts w:hint="default" w:ascii="Times New Roman" w:hAnsi="Times New Roman" w:cs="Times New Roman"/>
                <w:kern w:val="0"/>
                <w:szCs w:val="21"/>
                <w:highlight w:val="none"/>
              </w:rPr>
              <w:t>暂估价</w:t>
            </w:r>
            <w:r>
              <w:rPr>
                <w:rFonts w:hint="default" w:ascii="Times New Roman" w:hAnsi="Times New Roman" w:cs="Times New Roman"/>
                <w:szCs w:val="21"/>
                <w:highlight w:val="none"/>
              </w:rPr>
              <w:t>）</w:t>
            </w:r>
          </w:p>
        </w:tc>
        <w:tc>
          <w:tcPr>
            <w:tcW w:w="749" w:type="dxa"/>
            <w:noWrap w:val="0"/>
            <w:vAlign w:val="center"/>
          </w:tcPr>
          <w:p w14:paraId="24897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91038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17B4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804C8C">
            <w:pPr>
              <w:pageBreakBefore w:val="0"/>
              <w:kinsoku/>
              <w:wordWrap w:val="0"/>
              <w:bidi w:val="0"/>
              <w:spacing w:line="360" w:lineRule="atLeast"/>
              <w:jc w:val="center"/>
              <w:rPr>
                <w:rFonts w:hint="default" w:ascii="Times New Roman" w:hAnsi="Times New Roman" w:cs="Times New Roman"/>
                <w:szCs w:val="21"/>
                <w:highlight w:val="none"/>
              </w:rPr>
            </w:pPr>
          </w:p>
        </w:tc>
      </w:tr>
      <w:tr w14:paraId="581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DB92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1-3</w:t>
            </w:r>
          </w:p>
        </w:tc>
        <w:tc>
          <w:tcPr>
            <w:tcW w:w="4732" w:type="dxa"/>
            <w:noWrap w:val="0"/>
            <w:vAlign w:val="top"/>
          </w:tcPr>
          <w:p w14:paraId="6EDA4D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地质钻探及取样试验（暂定工程量）</w:t>
            </w:r>
          </w:p>
        </w:tc>
        <w:tc>
          <w:tcPr>
            <w:tcW w:w="749" w:type="dxa"/>
            <w:noWrap w:val="0"/>
            <w:vAlign w:val="top"/>
          </w:tcPr>
          <w:p w14:paraId="71C11F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F625A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1B32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7BF9EC">
            <w:pPr>
              <w:pageBreakBefore w:val="0"/>
              <w:kinsoku/>
              <w:wordWrap w:val="0"/>
              <w:bidi w:val="0"/>
              <w:spacing w:line="360" w:lineRule="atLeast"/>
              <w:jc w:val="center"/>
              <w:rPr>
                <w:rFonts w:hint="default" w:ascii="Times New Roman" w:hAnsi="Times New Roman" w:cs="Times New Roman"/>
                <w:szCs w:val="21"/>
                <w:highlight w:val="none"/>
              </w:rPr>
            </w:pPr>
          </w:p>
        </w:tc>
      </w:tr>
      <w:tr w14:paraId="79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CC61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1A0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Ф70mm</w:t>
            </w:r>
          </w:p>
        </w:tc>
        <w:tc>
          <w:tcPr>
            <w:tcW w:w="749" w:type="dxa"/>
            <w:noWrap w:val="0"/>
            <w:vAlign w:val="top"/>
          </w:tcPr>
          <w:p w14:paraId="42BC3B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7C3525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540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88E01E">
            <w:pPr>
              <w:pageBreakBefore w:val="0"/>
              <w:kinsoku/>
              <w:wordWrap w:val="0"/>
              <w:bidi w:val="0"/>
              <w:spacing w:line="360" w:lineRule="atLeast"/>
              <w:jc w:val="center"/>
              <w:rPr>
                <w:rFonts w:hint="default" w:ascii="Times New Roman" w:hAnsi="Times New Roman" w:cs="Times New Roman"/>
                <w:szCs w:val="21"/>
                <w:highlight w:val="none"/>
              </w:rPr>
            </w:pPr>
          </w:p>
        </w:tc>
      </w:tr>
      <w:tr w14:paraId="028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BD0E2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5D512C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Ф110mm</w:t>
            </w:r>
          </w:p>
        </w:tc>
        <w:tc>
          <w:tcPr>
            <w:tcW w:w="749" w:type="dxa"/>
            <w:noWrap w:val="0"/>
            <w:vAlign w:val="top"/>
          </w:tcPr>
          <w:p w14:paraId="18E689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A7D28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6F5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189DB9">
            <w:pPr>
              <w:pageBreakBefore w:val="0"/>
              <w:kinsoku/>
              <w:wordWrap w:val="0"/>
              <w:bidi w:val="0"/>
              <w:spacing w:line="360" w:lineRule="atLeast"/>
              <w:jc w:val="center"/>
              <w:rPr>
                <w:rFonts w:hint="default" w:ascii="Times New Roman" w:hAnsi="Times New Roman" w:cs="Times New Roman"/>
                <w:szCs w:val="21"/>
                <w:highlight w:val="none"/>
              </w:rPr>
            </w:pPr>
          </w:p>
        </w:tc>
      </w:tr>
      <w:tr w14:paraId="342E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AAD8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403</w:t>
            </w:r>
          </w:p>
        </w:tc>
        <w:tc>
          <w:tcPr>
            <w:tcW w:w="4732" w:type="dxa"/>
            <w:noWrap w:val="0"/>
            <w:vAlign w:val="center"/>
          </w:tcPr>
          <w:p w14:paraId="4F168D9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top"/>
          </w:tcPr>
          <w:p w14:paraId="2F659F20">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A3A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C9D8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52E5D7">
            <w:pPr>
              <w:pageBreakBefore w:val="0"/>
              <w:kinsoku/>
              <w:wordWrap w:val="0"/>
              <w:bidi w:val="0"/>
              <w:spacing w:line="360" w:lineRule="atLeast"/>
              <w:jc w:val="center"/>
              <w:rPr>
                <w:rFonts w:hint="default" w:ascii="Times New Roman" w:hAnsi="Times New Roman" w:cs="Times New Roman"/>
                <w:szCs w:val="21"/>
                <w:highlight w:val="none"/>
              </w:rPr>
            </w:pPr>
          </w:p>
        </w:tc>
      </w:tr>
      <w:tr w14:paraId="54A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149637">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403-1</w:t>
            </w:r>
          </w:p>
        </w:tc>
        <w:tc>
          <w:tcPr>
            <w:tcW w:w="4732" w:type="dxa"/>
            <w:noWrap w:val="0"/>
            <w:vAlign w:val="center"/>
          </w:tcPr>
          <w:p w14:paraId="522938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基础钢筋（含灌注桩、承台、桩系梁、沉桩、沉井等）</w:t>
            </w:r>
          </w:p>
        </w:tc>
        <w:tc>
          <w:tcPr>
            <w:tcW w:w="749" w:type="dxa"/>
            <w:noWrap w:val="0"/>
            <w:vAlign w:val="top"/>
          </w:tcPr>
          <w:p w14:paraId="5D0B6BAF">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C0E2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FB58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C066D4">
            <w:pPr>
              <w:pageBreakBefore w:val="0"/>
              <w:kinsoku/>
              <w:wordWrap w:val="0"/>
              <w:bidi w:val="0"/>
              <w:spacing w:line="360" w:lineRule="atLeast"/>
              <w:jc w:val="center"/>
              <w:rPr>
                <w:rFonts w:hint="default" w:ascii="Times New Roman" w:hAnsi="Times New Roman" w:cs="Times New Roman"/>
                <w:szCs w:val="21"/>
                <w:highlight w:val="none"/>
              </w:rPr>
            </w:pPr>
          </w:p>
        </w:tc>
      </w:tr>
      <w:tr w14:paraId="089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C53DF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D6201CE">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1EB7899">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3C70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C6BC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DF176F">
            <w:pPr>
              <w:pageBreakBefore w:val="0"/>
              <w:kinsoku/>
              <w:wordWrap w:val="0"/>
              <w:bidi w:val="0"/>
              <w:spacing w:line="360" w:lineRule="atLeast"/>
              <w:jc w:val="center"/>
              <w:rPr>
                <w:rFonts w:hint="default" w:ascii="Times New Roman" w:hAnsi="Times New Roman" w:cs="Times New Roman"/>
                <w:szCs w:val="21"/>
                <w:highlight w:val="none"/>
              </w:rPr>
            </w:pPr>
          </w:p>
        </w:tc>
      </w:tr>
      <w:tr w14:paraId="2E0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18E570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A6E5BCB">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478988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6CADF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3F17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9492E0">
            <w:pPr>
              <w:pageBreakBefore w:val="0"/>
              <w:kinsoku/>
              <w:wordWrap w:val="0"/>
              <w:bidi w:val="0"/>
              <w:spacing w:line="360" w:lineRule="atLeast"/>
              <w:jc w:val="center"/>
              <w:rPr>
                <w:rFonts w:hint="default" w:ascii="Times New Roman" w:hAnsi="Times New Roman" w:cs="Times New Roman"/>
                <w:szCs w:val="21"/>
                <w:highlight w:val="none"/>
              </w:rPr>
            </w:pPr>
          </w:p>
        </w:tc>
      </w:tr>
      <w:tr w14:paraId="40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A2BE10">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403-2</w:t>
            </w:r>
          </w:p>
        </w:tc>
        <w:tc>
          <w:tcPr>
            <w:tcW w:w="4732" w:type="dxa"/>
            <w:noWrap w:val="0"/>
            <w:vAlign w:val="top"/>
          </w:tcPr>
          <w:p w14:paraId="35E3D9E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下部结构钢筋</w:t>
            </w:r>
          </w:p>
        </w:tc>
        <w:tc>
          <w:tcPr>
            <w:tcW w:w="749" w:type="dxa"/>
            <w:noWrap w:val="0"/>
            <w:vAlign w:val="top"/>
          </w:tcPr>
          <w:p w14:paraId="49566DD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9E7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4344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85265">
            <w:pPr>
              <w:pageBreakBefore w:val="0"/>
              <w:kinsoku/>
              <w:wordWrap w:val="0"/>
              <w:bidi w:val="0"/>
              <w:spacing w:line="360" w:lineRule="atLeast"/>
              <w:jc w:val="center"/>
              <w:rPr>
                <w:rFonts w:hint="default" w:ascii="Times New Roman" w:hAnsi="Times New Roman" w:cs="Times New Roman"/>
                <w:szCs w:val="21"/>
                <w:highlight w:val="none"/>
              </w:rPr>
            </w:pPr>
          </w:p>
        </w:tc>
      </w:tr>
      <w:tr w14:paraId="69F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5E1DF5">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6EA3925">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63C547AD">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3EC6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FF04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491A5A">
            <w:pPr>
              <w:pageBreakBefore w:val="0"/>
              <w:kinsoku/>
              <w:wordWrap w:val="0"/>
              <w:bidi w:val="0"/>
              <w:spacing w:line="360" w:lineRule="atLeast"/>
              <w:jc w:val="center"/>
              <w:rPr>
                <w:rFonts w:hint="default" w:ascii="Times New Roman" w:hAnsi="Times New Roman" w:cs="Times New Roman"/>
                <w:szCs w:val="21"/>
                <w:highlight w:val="none"/>
              </w:rPr>
            </w:pPr>
          </w:p>
        </w:tc>
      </w:tr>
      <w:tr w14:paraId="6CA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2D9123">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AE19B9F">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7F6F74E8">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078EAB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7CC3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0173D">
            <w:pPr>
              <w:pageBreakBefore w:val="0"/>
              <w:kinsoku/>
              <w:wordWrap w:val="0"/>
              <w:bidi w:val="0"/>
              <w:spacing w:line="360" w:lineRule="atLeast"/>
              <w:jc w:val="center"/>
              <w:rPr>
                <w:rFonts w:hint="default" w:ascii="Times New Roman" w:hAnsi="Times New Roman" w:cs="Times New Roman"/>
                <w:szCs w:val="21"/>
                <w:highlight w:val="none"/>
              </w:rPr>
            </w:pPr>
          </w:p>
        </w:tc>
      </w:tr>
      <w:tr w14:paraId="74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9545FF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403-3</w:t>
            </w:r>
          </w:p>
        </w:tc>
        <w:tc>
          <w:tcPr>
            <w:tcW w:w="4732" w:type="dxa"/>
            <w:noWrap w:val="0"/>
            <w:vAlign w:val="top"/>
          </w:tcPr>
          <w:p w14:paraId="502644CC">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上部结构钢筋</w:t>
            </w:r>
          </w:p>
        </w:tc>
        <w:tc>
          <w:tcPr>
            <w:tcW w:w="749" w:type="dxa"/>
            <w:noWrap w:val="0"/>
            <w:vAlign w:val="top"/>
          </w:tcPr>
          <w:p w14:paraId="27F0ADA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699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A7E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8D1E3">
            <w:pPr>
              <w:pageBreakBefore w:val="0"/>
              <w:kinsoku/>
              <w:wordWrap w:val="0"/>
              <w:bidi w:val="0"/>
              <w:spacing w:line="360" w:lineRule="atLeast"/>
              <w:jc w:val="center"/>
              <w:rPr>
                <w:rFonts w:hint="default" w:ascii="Times New Roman" w:hAnsi="Times New Roman" w:cs="Times New Roman"/>
                <w:szCs w:val="21"/>
                <w:highlight w:val="none"/>
              </w:rPr>
            </w:pPr>
          </w:p>
        </w:tc>
      </w:tr>
      <w:tr w14:paraId="776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DE97EA">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AABEF6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CD6AC4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EB526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5941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AADA02">
            <w:pPr>
              <w:pageBreakBefore w:val="0"/>
              <w:kinsoku/>
              <w:wordWrap w:val="0"/>
              <w:bidi w:val="0"/>
              <w:spacing w:line="360" w:lineRule="atLeast"/>
              <w:jc w:val="center"/>
              <w:rPr>
                <w:rFonts w:hint="default" w:ascii="Times New Roman" w:hAnsi="Times New Roman" w:cs="Times New Roman"/>
                <w:szCs w:val="21"/>
                <w:highlight w:val="none"/>
              </w:rPr>
            </w:pPr>
          </w:p>
        </w:tc>
      </w:tr>
      <w:tr w14:paraId="640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00F9B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BD865C2">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D664CC1">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64864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A9E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619776">
            <w:pPr>
              <w:pageBreakBefore w:val="0"/>
              <w:kinsoku/>
              <w:wordWrap w:val="0"/>
              <w:bidi w:val="0"/>
              <w:spacing w:line="360" w:lineRule="atLeast"/>
              <w:jc w:val="center"/>
              <w:rPr>
                <w:rFonts w:hint="default" w:ascii="Times New Roman" w:hAnsi="Times New Roman" w:cs="Times New Roman"/>
                <w:szCs w:val="21"/>
                <w:highlight w:val="none"/>
              </w:rPr>
            </w:pPr>
          </w:p>
        </w:tc>
      </w:tr>
      <w:tr w14:paraId="383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796DD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403-4</w:t>
            </w:r>
          </w:p>
        </w:tc>
        <w:tc>
          <w:tcPr>
            <w:tcW w:w="4732" w:type="dxa"/>
            <w:noWrap w:val="0"/>
            <w:vAlign w:val="top"/>
          </w:tcPr>
          <w:p w14:paraId="40A168B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附属结构钢筋</w:t>
            </w:r>
          </w:p>
        </w:tc>
        <w:tc>
          <w:tcPr>
            <w:tcW w:w="749" w:type="dxa"/>
            <w:noWrap w:val="0"/>
            <w:vAlign w:val="top"/>
          </w:tcPr>
          <w:p w14:paraId="2D0C35ED">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B84CF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3DDF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B95D4D">
            <w:pPr>
              <w:pageBreakBefore w:val="0"/>
              <w:kinsoku/>
              <w:wordWrap w:val="0"/>
              <w:bidi w:val="0"/>
              <w:spacing w:line="360" w:lineRule="atLeast"/>
              <w:jc w:val="center"/>
              <w:rPr>
                <w:rFonts w:hint="default" w:ascii="Times New Roman" w:hAnsi="Times New Roman" w:cs="Times New Roman"/>
                <w:szCs w:val="21"/>
                <w:highlight w:val="none"/>
              </w:rPr>
            </w:pPr>
          </w:p>
        </w:tc>
      </w:tr>
      <w:tr w14:paraId="350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E2E80C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1483F91">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1134FCF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52A64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877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F6374">
            <w:pPr>
              <w:pageBreakBefore w:val="0"/>
              <w:kinsoku/>
              <w:wordWrap w:val="0"/>
              <w:bidi w:val="0"/>
              <w:spacing w:line="360" w:lineRule="atLeast"/>
              <w:jc w:val="center"/>
              <w:rPr>
                <w:rFonts w:hint="default" w:ascii="Times New Roman" w:hAnsi="Times New Roman" w:cs="Times New Roman"/>
                <w:szCs w:val="21"/>
                <w:highlight w:val="none"/>
              </w:rPr>
            </w:pPr>
          </w:p>
        </w:tc>
      </w:tr>
      <w:tr w14:paraId="1AF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E6E70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84648A">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5EDA9AFF">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43AC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1EE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9F1461">
            <w:pPr>
              <w:pageBreakBefore w:val="0"/>
              <w:kinsoku/>
              <w:wordWrap w:val="0"/>
              <w:bidi w:val="0"/>
              <w:spacing w:line="360" w:lineRule="atLeast"/>
              <w:jc w:val="center"/>
              <w:rPr>
                <w:rFonts w:hint="default" w:ascii="Times New Roman" w:hAnsi="Times New Roman" w:cs="Times New Roman"/>
                <w:szCs w:val="21"/>
                <w:highlight w:val="none"/>
              </w:rPr>
            </w:pPr>
          </w:p>
        </w:tc>
      </w:tr>
      <w:tr w14:paraId="1807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9393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404</w:t>
            </w:r>
          </w:p>
        </w:tc>
        <w:tc>
          <w:tcPr>
            <w:tcW w:w="4732" w:type="dxa"/>
            <w:noWrap w:val="0"/>
            <w:vAlign w:val="center"/>
          </w:tcPr>
          <w:p w14:paraId="612DE0B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基坑开挖及回填</w:t>
            </w:r>
          </w:p>
        </w:tc>
        <w:tc>
          <w:tcPr>
            <w:tcW w:w="749" w:type="dxa"/>
            <w:noWrap w:val="0"/>
            <w:vAlign w:val="top"/>
          </w:tcPr>
          <w:p w14:paraId="57B44F1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A8393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E8AD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9FEF5">
            <w:pPr>
              <w:pageBreakBefore w:val="0"/>
              <w:kinsoku/>
              <w:wordWrap w:val="0"/>
              <w:bidi w:val="0"/>
              <w:spacing w:line="360" w:lineRule="atLeast"/>
              <w:jc w:val="center"/>
              <w:rPr>
                <w:rFonts w:hint="default" w:ascii="Times New Roman" w:hAnsi="Times New Roman" w:cs="Times New Roman"/>
                <w:szCs w:val="21"/>
                <w:highlight w:val="none"/>
              </w:rPr>
            </w:pPr>
          </w:p>
        </w:tc>
      </w:tr>
      <w:tr w14:paraId="19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93F49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404-1</w:t>
            </w:r>
          </w:p>
        </w:tc>
        <w:tc>
          <w:tcPr>
            <w:tcW w:w="4732" w:type="dxa"/>
            <w:noWrap w:val="0"/>
            <w:vAlign w:val="top"/>
          </w:tcPr>
          <w:p w14:paraId="1FA9E9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干处挖土方</w:t>
            </w:r>
          </w:p>
        </w:tc>
        <w:tc>
          <w:tcPr>
            <w:tcW w:w="749" w:type="dxa"/>
            <w:noWrap w:val="0"/>
            <w:vAlign w:val="top"/>
          </w:tcPr>
          <w:p w14:paraId="655D2AD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DA18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0272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A55777">
            <w:pPr>
              <w:pageBreakBefore w:val="0"/>
              <w:kinsoku/>
              <w:wordWrap w:val="0"/>
              <w:bidi w:val="0"/>
              <w:spacing w:line="360" w:lineRule="atLeast"/>
              <w:jc w:val="center"/>
              <w:rPr>
                <w:rFonts w:hint="default" w:ascii="Times New Roman" w:hAnsi="Times New Roman" w:cs="Times New Roman"/>
                <w:szCs w:val="21"/>
                <w:highlight w:val="none"/>
              </w:rPr>
            </w:pPr>
          </w:p>
        </w:tc>
      </w:tr>
      <w:tr w14:paraId="2A1C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7ED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404-2</w:t>
            </w:r>
          </w:p>
        </w:tc>
        <w:tc>
          <w:tcPr>
            <w:tcW w:w="4732" w:type="dxa"/>
            <w:noWrap w:val="0"/>
            <w:vAlign w:val="top"/>
          </w:tcPr>
          <w:p w14:paraId="5A8D9D0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水下挖土方</w:t>
            </w:r>
          </w:p>
        </w:tc>
        <w:tc>
          <w:tcPr>
            <w:tcW w:w="749" w:type="dxa"/>
            <w:noWrap w:val="0"/>
            <w:vAlign w:val="top"/>
          </w:tcPr>
          <w:p w14:paraId="666F2E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89E1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13F7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059728">
            <w:pPr>
              <w:pageBreakBefore w:val="0"/>
              <w:kinsoku/>
              <w:wordWrap w:val="0"/>
              <w:bidi w:val="0"/>
              <w:spacing w:line="360" w:lineRule="atLeast"/>
              <w:jc w:val="center"/>
              <w:rPr>
                <w:rFonts w:hint="default" w:ascii="Times New Roman" w:hAnsi="Times New Roman" w:cs="Times New Roman"/>
                <w:szCs w:val="21"/>
                <w:highlight w:val="none"/>
              </w:rPr>
            </w:pPr>
          </w:p>
        </w:tc>
      </w:tr>
      <w:tr w14:paraId="503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E806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404-3</w:t>
            </w:r>
          </w:p>
        </w:tc>
        <w:tc>
          <w:tcPr>
            <w:tcW w:w="4732" w:type="dxa"/>
            <w:noWrap w:val="0"/>
            <w:vAlign w:val="top"/>
          </w:tcPr>
          <w:p w14:paraId="4315200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干处挖石方</w:t>
            </w:r>
          </w:p>
        </w:tc>
        <w:tc>
          <w:tcPr>
            <w:tcW w:w="749" w:type="dxa"/>
            <w:noWrap w:val="0"/>
            <w:vAlign w:val="top"/>
          </w:tcPr>
          <w:p w14:paraId="0D85A0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67B1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633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7681B9">
            <w:pPr>
              <w:pageBreakBefore w:val="0"/>
              <w:kinsoku/>
              <w:wordWrap w:val="0"/>
              <w:bidi w:val="0"/>
              <w:spacing w:line="360" w:lineRule="atLeast"/>
              <w:jc w:val="center"/>
              <w:rPr>
                <w:rFonts w:hint="default" w:ascii="Times New Roman" w:hAnsi="Times New Roman" w:cs="Times New Roman"/>
                <w:szCs w:val="21"/>
                <w:highlight w:val="none"/>
              </w:rPr>
            </w:pPr>
          </w:p>
        </w:tc>
      </w:tr>
      <w:tr w14:paraId="354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D5C7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404-4</w:t>
            </w:r>
          </w:p>
        </w:tc>
        <w:tc>
          <w:tcPr>
            <w:tcW w:w="4732" w:type="dxa"/>
            <w:noWrap w:val="0"/>
            <w:vAlign w:val="top"/>
          </w:tcPr>
          <w:p w14:paraId="00F6F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水下挖石方</w:t>
            </w:r>
          </w:p>
        </w:tc>
        <w:tc>
          <w:tcPr>
            <w:tcW w:w="749" w:type="dxa"/>
            <w:noWrap w:val="0"/>
            <w:vAlign w:val="top"/>
          </w:tcPr>
          <w:p w14:paraId="7DBAB60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2F9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C03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575863">
            <w:pPr>
              <w:pageBreakBefore w:val="0"/>
              <w:kinsoku/>
              <w:wordWrap w:val="0"/>
              <w:bidi w:val="0"/>
              <w:spacing w:line="360" w:lineRule="atLeast"/>
              <w:jc w:val="center"/>
              <w:rPr>
                <w:rFonts w:hint="default" w:ascii="Times New Roman" w:hAnsi="Times New Roman" w:cs="Times New Roman"/>
                <w:szCs w:val="21"/>
                <w:highlight w:val="none"/>
              </w:rPr>
            </w:pPr>
          </w:p>
        </w:tc>
      </w:tr>
      <w:tr w14:paraId="64D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BFE65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w:t>
            </w:r>
          </w:p>
        </w:tc>
        <w:tc>
          <w:tcPr>
            <w:tcW w:w="4732" w:type="dxa"/>
            <w:noWrap w:val="0"/>
            <w:vAlign w:val="center"/>
          </w:tcPr>
          <w:p w14:paraId="2F68C82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top"/>
          </w:tcPr>
          <w:p w14:paraId="0F270212">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991F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CF5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86C66B">
            <w:pPr>
              <w:pageBreakBefore w:val="0"/>
              <w:kinsoku/>
              <w:wordWrap w:val="0"/>
              <w:bidi w:val="0"/>
              <w:spacing w:line="360" w:lineRule="atLeast"/>
              <w:jc w:val="center"/>
              <w:rPr>
                <w:rFonts w:hint="default" w:ascii="Times New Roman" w:hAnsi="Times New Roman" w:cs="Times New Roman"/>
                <w:szCs w:val="21"/>
                <w:highlight w:val="none"/>
              </w:rPr>
            </w:pPr>
          </w:p>
        </w:tc>
      </w:tr>
      <w:tr w14:paraId="06A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826F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405-1</w:t>
            </w:r>
          </w:p>
        </w:tc>
        <w:tc>
          <w:tcPr>
            <w:tcW w:w="4732" w:type="dxa"/>
            <w:noWrap w:val="0"/>
            <w:vAlign w:val="center"/>
          </w:tcPr>
          <w:p w14:paraId="7AFF87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center"/>
          </w:tcPr>
          <w:p w14:paraId="0054148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64FBC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FFB2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2CE18B">
            <w:pPr>
              <w:pageBreakBefore w:val="0"/>
              <w:kinsoku/>
              <w:wordWrap w:val="0"/>
              <w:bidi w:val="0"/>
              <w:spacing w:line="360" w:lineRule="atLeast"/>
              <w:jc w:val="center"/>
              <w:rPr>
                <w:rFonts w:hint="default" w:ascii="Times New Roman" w:hAnsi="Times New Roman" w:cs="Times New Roman"/>
                <w:szCs w:val="21"/>
                <w:highlight w:val="none"/>
              </w:rPr>
            </w:pPr>
          </w:p>
        </w:tc>
      </w:tr>
      <w:tr w14:paraId="4EE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8D0B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75304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陆上钻孔灌注桩</w:t>
            </w:r>
          </w:p>
        </w:tc>
        <w:tc>
          <w:tcPr>
            <w:tcW w:w="749" w:type="dxa"/>
            <w:noWrap w:val="0"/>
            <w:vAlign w:val="center"/>
          </w:tcPr>
          <w:p w14:paraId="0B3E3B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A646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E7BF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4EAEA6">
            <w:pPr>
              <w:pageBreakBefore w:val="0"/>
              <w:kinsoku/>
              <w:wordWrap w:val="0"/>
              <w:bidi w:val="0"/>
              <w:spacing w:line="360" w:lineRule="atLeast"/>
              <w:jc w:val="center"/>
              <w:rPr>
                <w:rFonts w:hint="default" w:ascii="Times New Roman" w:hAnsi="Times New Roman" w:cs="Times New Roman"/>
                <w:szCs w:val="21"/>
                <w:highlight w:val="none"/>
              </w:rPr>
            </w:pPr>
          </w:p>
        </w:tc>
      </w:tr>
      <w:tr w14:paraId="73B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1D96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B66A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水中钻孔灌注桩</w:t>
            </w:r>
          </w:p>
        </w:tc>
        <w:tc>
          <w:tcPr>
            <w:tcW w:w="749" w:type="dxa"/>
            <w:noWrap w:val="0"/>
            <w:vAlign w:val="center"/>
          </w:tcPr>
          <w:p w14:paraId="7D998C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C9FD2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64B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EC6761">
            <w:pPr>
              <w:pageBreakBefore w:val="0"/>
              <w:kinsoku/>
              <w:wordWrap w:val="0"/>
              <w:bidi w:val="0"/>
              <w:spacing w:line="360" w:lineRule="atLeast"/>
              <w:jc w:val="center"/>
              <w:rPr>
                <w:rFonts w:hint="default" w:ascii="Times New Roman" w:hAnsi="Times New Roman" w:cs="Times New Roman"/>
                <w:szCs w:val="21"/>
                <w:highlight w:val="none"/>
              </w:rPr>
            </w:pPr>
          </w:p>
        </w:tc>
      </w:tr>
      <w:tr w14:paraId="5C4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FA72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405-2</w:t>
            </w:r>
          </w:p>
        </w:tc>
        <w:tc>
          <w:tcPr>
            <w:tcW w:w="4732" w:type="dxa"/>
            <w:noWrap w:val="0"/>
            <w:vAlign w:val="center"/>
          </w:tcPr>
          <w:p w14:paraId="4A08FA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7A1AEF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E5D18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9CC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71AFF">
            <w:pPr>
              <w:pageBreakBefore w:val="0"/>
              <w:kinsoku/>
              <w:wordWrap w:val="0"/>
              <w:bidi w:val="0"/>
              <w:spacing w:line="360" w:lineRule="atLeast"/>
              <w:jc w:val="center"/>
              <w:rPr>
                <w:rFonts w:hint="default" w:ascii="Times New Roman" w:hAnsi="Times New Roman" w:cs="Times New Roman"/>
                <w:szCs w:val="21"/>
                <w:highlight w:val="none"/>
              </w:rPr>
            </w:pPr>
          </w:p>
        </w:tc>
      </w:tr>
      <w:tr w14:paraId="1979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3EE25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405-3</w:t>
            </w:r>
          </w:p>
        </w:tc>
        <w:tc>
          <w:tcPr>
            <w:tcW w:w="4732" w:type="dxa"/>
            <w:noWrap w:val="0"/>
            <w:vAlign w:val="center"/>
          </w:tcPr>
          <w:p w14:paraId="763FB2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71F8F7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A946C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535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562CD">
            <w:pPr>
              <w:pageBreakBefore w:val="0"/>
              <w:kinsoku/>
              <w:wordWrap w:val="0"/>
              <w:bidi w:val="0"/>
              <w:spacing w:line="360" w:lineRule="atLeast"/>
              <w:jc w:val="center"/>
              <w:rPr>
                <w:rFonts w:hint="default" w:ascii="Times New Roman" w:hAnsi="Times New Roman" w:cs="Times New Roman"/>
                <w:szCs w:val="21"/>
                <w:highlight w:val="none"/>
              </w:rPr>
            </w:pPr>
          </w:p>
        </w:tc>
      </w:tr>
      <w:tr w14:paraId="2DA5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593C5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406</w:t>
            </w:r>
          </w:p>
        </w:tc>
        <w:tc>
          <w:tcPr>
            <w:tcW w:w="4732" w:type="dxa"/>
            <w:noWrap w:val="0"/>
            <w:vAlign w:val="center"/>
          </w:tcPr>
          <w:p w14:paraId="19DDA2B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沉桩</w:t>
            </w:r>
          </w:p>
        </w:tc>
        <w:tc>
          <w:tcPr>
            <w:tcW w:w="749" w:type="dxa"/>
            <w:noWrap w:val="0"/>
            <w:vAlign w:val="center"/>
          </w:tcPr>
          <w:p w14:paraId="56B5D44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8CE03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2613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79F4A4">
            <w:pPr>
              <w:pageBreakBefore w:val="0"/>
              <w:kinsoku/>
              <w:wordWrap w:val="0"/>
              <w:bidi w:val="0"/>
              <w:spacing w:line="360" w:lineRule="atLeast"/>
              <w:jc w:val="center"/>
              <w:rPr>
                <w:rFonts w:hint="default" w:ascii="Times New Roman" w:hAnsi="Times New Roman" w:cs="Times New Roman"/>
                <w:szCs w:val="21"/>
                <w:highlight w:val="none"/>
              </w:rPr>
            </w:pPr>
          </w:p>
        </w:tc>
      </w:tr>
      <w:tr w14:paraId="020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2DA8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406-1</w:t>
            </w:r>
          </w:p>
        </w:tc>
        <w:tc>
          <w:tcPr>
            <w:tcW w:w="4732" w:type="dxa"/>
            <w:noWrap w:val="0"/>
            <w:vAlign w:val="center"/>
          </w:tcPr>
          <w:p w14:paraId="267B51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钢筋混凝土沉桩</w:t>
            </w:r>
          </w:p>
        </w:tc>
        <w:tc>
          <w:tcPr>
            <w:tcW w:w="749" w:type="dxa"/>
            <w:noWrap w:val="0"/>
            <w:vAlign w:val="center"/>
          </w:tcPr>
          <w:p w14:paraId="77E1E2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2EE36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18BE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B29496">
            <w:pPr>
              <w:pageBreakBefore w:val="0"/>
              <w:kinsoku/>
              <w:wordWrap w:val="0"/>
              <w:bidi w:val="0"/>
              <w:spacing w:line="360" w:lineRule="atLeast"/>
              <w:jc w:val="center"/>
              <w:rPr>
                <w:rFonts w:hint="default" w:ascii="Times New Roman" w:hAnsi="Times New Roman" w:cs="Times New Roman"/>
                <w:szCs w:val="21"/>
                <w:highlight w:val="none"/>
              </w:rPr>
            </w:pPr>
          </w:p>
        </w:tc>
      </w:tr>
      <w:tr w14:paraId="3A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0019711B">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76B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53E08565">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6947E9A9">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5FE0A28">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AAC232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3A44F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0520E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0D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3D2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406-2</w:t>
            </w:r>
          </w:p>
        </w:tc>
        <w:tc>
          <w:tcPr>
            <w:tcW w:w="4732" w:type="dxa"/>
            <w:noWrap w:val="0"/>
            <w:vAlign w:val="center"/>
          </w:tcPr>
          <w:p w14:paraId="73AFB1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预应力混凝土沉桩</w:t>
            </w:r>
          </w:p>
        </w:tc>
        <w:tc>
          <w:tcPr>
            <w:tcW w:w="749" w:type="dxa"/>
            <w:noWrap w:val="0"/>
            <w:vAlign w:val="center"/>
          </w:tcPr>
          <w:p w14:paraId="16A916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EAF15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228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6D330">
            <w:pPr>
              <w:pageBreakBefore w:val="0"/>
              <w:kinsoku/>
              <w:wordWrap w:val="0"/>
              <w:bidi w:val="0"/>
              <w:spacing w:line="360" w:lineRule="atLeast"/>
              <w:jc w:val="center"/>
              <w:rPr>
                <w:rFonts w:hint="default" w:ascii="Times New Roman" w:hAnsi="Times New Roman" w:cs="Times New Roman"/>
                <w:szCs w:val="21"/>
                <w:highlight w:val="none"/>
              </w:rPr>
            </w: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10D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406-3</w:t>
            </w:r>
          </w:p>
        </w:tc>
        <w:tc>
          <w:tcPr>
            <w:tcW w:w="4732" w:type="dxa"/>
            <w:noWrap w:val="0"/>
            <w:vAlign w:val="center"/>
          </w:tcPr>
          <w:p w14:paraId="2886B3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试桩（暂定工程量）</w:t>
            </w:r>
          </w:p>
        </w:tc>
        <w:tc>
          <w:tcPr>
            <w:tcW w:w="749" w:type="dxa"/>
            <w:noWrap w:val="0"/>
            <w:vAlign w:val="center"/>
          </w:tcPr>
          <w:p w14:paraId="1A1478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A6F7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54E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FB4CB6">
            <w:pPr>
              <w:pageBreakBefore w:val="0"/>
              <w:kinsoku/>
              <w:wordWrap w:val="0"/>
              <w:bidi w:val="0"/>
              <w:spacing w:line="360" w:lineRule="atLeast"/>
              <w:jc w:val="center"/>
              <w:rPr>
                <w:rFonts w:hint="default" w:ascii="Times New Roman" w:hAnsi="Times New Roman" w:cs="Times New Roman"/>
                <w:szCs w:val="21"/>
                <w:highlight w:val="none"/>
              </w:rPr>
            </w:pPr>
          </w:p>
        </w:tc>
      </w:tr>
      <w:tr w14:paraId="1B5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940C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407</w:t>
            </w:r>
          </w:p>
        </w:tc>
        <w:tc>
          <w:tcPr>
            <w:tcW w:w="4732" w:type="dxa"/>
            <w:noWrap w:val="0"/>
            <w:vAlign w:val="center"/>
          </w:tcPr>
          <w:p w14:paraId="00E313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top"/>
          </w:tcPr>
          <w:p w14:paraId="60A5042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9B09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3F7A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91459B">
            <w:pPr>
              <w:pageBreakBefore w:val="0"/>
              <w:kinsoku/>
              <w:wordWrap w:val="0"/>
              <w:bidi w:val="0"/>
              <w:spacing w:line="360" w:lineRule="atLeast"/>
              <w:jc w:val="center"/>
              <w:rPr>
                <w:rFonts w:hint="default" w:ascii="Times New Roman" w:hAnsi="Times New Roman" w:cs="Times New Roman"/>
                <w:szCs w:val="21"/>
                <w:highlight w:val="none"/>
              </w:rPr>
            </w:pPr>
          </w:p>
        </w:tc>
      </w:tr>
      <w:tr w14:paraId="5BD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28EC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407-1</w:t>
            </w:r>
          </w:p>
        </w:tc>
        <w:tc>
          <w:tcPr>
            <w:tcW w:w="4732" w:type="dxa"/>
            <w:noWrap w:val="0"/>
            <w:vAlign w:val="center"/>
          </w:tcPr>
          <w:p w14:paraId="3DBAFC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center"/>
          </w:tcPr>
          <w:p w14:paraId="27FEDD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27D5C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3ED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E7A53">
            <w:pPr>
              <w:pageBreakBefore w:val="0"/>
              <w:kinsoku/>
              <w:wordWrap w:val="0"/>
              <w:bidi w:val="0"/>
              <w:spacing w:line="360" w:lineRule="atLeast"/>
              <w:jc w:val="center"/>
              <w:rPr>
                <w:rFonts w:hint="default" w:ascii="Times New Roman" w:hAnsi="Times New Roman" w:cs="Times New Roman"/>
                <w:szCs w:val="21"/>
                <w:highlight w:val="none"/>
              </w:rPr>
            </w:pPr>
          </w:p>
        </w:tc>
      </w:tr>
      <w:tr w14:paraId="257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BAE7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407-2</w:t>
            </w:r>
          </w:p>
        </w:tc>
        <w:tc>
          <w:tcPr>
            <w:tcW w:w="4732" w:type="dxa"/>
            <w:noWrap w:val="0"/>
            <w:vAlign w:val="center"/>
          </w:tcPr>
          <w:p w14:paraId="2F3DB4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5484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FE1A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A144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F2405">
            <w:pPr>
              <w:pageBreakBefore w:val="0"/>
              <w:kinsoku/>
              <w:wordWrap w:val="0"/>
              <w:bidi w:val="0"/>
              <w:spacing w:line="360" w:lineRule="atLeast"/>
              <w:jc w:val="center"/>
              <w:rPr>
                <w:rFonts w:hint="default" w:ascii="Times New Roman" w:hAnsi="Times New Roman" w:cs="Times New Roman"/>
                <w:szCs w:val="21"/>
                <w:highlight w:val="none"/>
              </w:rPr>
            </w:pPr>
          </w:p>
        </w:tc>
      </w:tr>
      <w:tr w14:paraId="6E8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F82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407-3</w:t>
            </w:r>
          </w:p>
        </w:tc>
        <w:tc>
          <w:tcPr>
            <w:tcW w:w="4732" w:type="dxa"/>
            <w:noWrap w:val="0"/>
            <w:vAlign w:val="center"/>
          </w:tcPr>
          <w:p w14:paraId="474089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5B6DA0C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F6BD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A350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8C82BF">
            <w:pPr>
              <w:pageBreakBefore w:val="0"/>
              <w:kinsoku/>
              <w:wordWrap w:val="0"/>
              <w:bidi w:val="0"/>
              <w:spacing w:line="360" w:lineRule="atLeast"/>
              <w:jc w:val="center"/>
              <w:rPr>
                <w:rFonts w:hint="default" w:ascii="Times New Roman" w:hAnsi="Times New Roman" w:cs="Times New Roman"/>
                <w:szCs w:val="21"/>
                <w:highlight w:val="none"/>
              </w:rPr>
            </w:pPr>
          </w:p>
        </w:tc>
      </w:tr>
      <w:tr w14:paraId="319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91A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408</w:t>
            </w:r>
          </w:p>
        </w:tc>
        <w:tc>
          <w:tcPr>
            <w:tcW w:w="4732" w:type="dxa"/>
            <w:noWrap w:val="0"/>
            <w:vAlign w:val="center"/>
          </w:tcPr>
          <w:p w14:paraId="40B1960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桩的垂直静荷载试验</w:t>
            </w:r>
          </w:p>
        </w:tc>
        <w:tc>
          <w:tcPr>
            <w:tcW w:w="749" w:type="dxa"/>
            <w:noWrap w:val="0"/>
            <w:vAlign w:val="top"/>
          </w:tcPr>
          <w:p w14:paraId="12B9739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DB7F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E899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FAE7606">
            <w:pPr>
              <w:pageBreakBefore w:val="0"/>
              <w:kinsoku/>
              <w:wordWrap w:val="0"/>
              <w:bidi w:val="0"/>
              <w:spacing w:line="360" w:lineRule="atLeast"/>
              <w:jc w:val="center"/>
              <w:rPr>
                <w:rFonts w:hint="default" w:ascii="Times New Roman" w:hAnsi="Times New Roman" w:cs="Times New Roman"/>
                <w:szCs w:val="21"/>
                <w:highlight w:val="none"/>
              </w:rPr>
            </w:pPr>
          </w:p>
        </w:tc>
      </w:tr>
      <w:tr w14:paraId="61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C59A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408-1</w:t>
            </w:r>
          </w:p>
        </w:tc>
        <w:tc>
          <w:tcPr>
            <w:tcW w:w="4732" w:type="dxa"/>
            <w:noWrap w:val="0"/>
            <w:vAlign w:val="center"/>
          </w:tcPr>
          <w:p w14:paraId="12932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桩的检验荷载试验</w:t>
            </w:r>
            <w:r>
              <w:rPr>
                <w:rFonts w:hint="default" w:ascii="Times New Roman" w:hAnsi="Times New Roman" w:cs="Times New Roman"/>
                <w:kern w:val="0"/>
                <w:szCs w:val="21"/>
                <w:highlight w:val="none"/>
              </w:rPr>
              <w:t>（暂定工程量）</w:t>
            </w:r>
          </w:p>
        </w:tc>
        <w:tc>
          <w:tcPr>
            <w:tcW w:w="749" w:type="dxa"/>
            <w:noWrap w:val="0"/>
            <w:vAlign w:val="center"/>
          </w:tcPr>
          <w:p w14:paraId="544E87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7EB6D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47B0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82FD09">
            <w:pPr>
              <w:pageBreakBefore w:val="0"/>
              <w:kinsoku/>
              <w:wordWrap w:val="0"/>
              <w:bidi w:val="0"/>
              <w:spacing w:line="360" w:lineRule="atLeast"/>
              <w:jc w:val="center"/>
              <w:rPr>
                <w:rFonts w:hint="default" w:ascii="Times New Roman" w:hAnsi="Times New Roman" w:cs="Times New Roman"/>
                <w:szCs w:val="21"/>
                <w:highlight w:val="none"/>
              </w:rPr>
            </w:pPr>
          </w:p>
        </w:tc>
      </w:tr>
      <w:tr w14:paraId="536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85B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408-2</w:t>
            </w:r>
          </w:p>
        </w:tc>
        <w:tc>
          <w:tcPr>
            <w:tcW w:w="4732" w:type="dxa"/>
            <w:noWrap w:val="0"/>
            <w:vAlign w:val="center"/>
          </w:tcPr>
          <w:p w14:paraId="2282C0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桩的破坏荷载试验</w:t>
            </w:r>
            <w:r>
              <w:rPr>
                <w:rFonts w:hint="default" w:ascii="Times New Roman" w:hAnsi="Times New Roman" w:cs="Times New Roman"/>
                <w:kern w:val="0"/>
                <w:szCs w:val="21"/>
                <w:highlight w:val="none"/>
              </w:rPr>
              <w:t>（暂定工程量）</w:t>
            </w:r>
          </w:p>
        </w:tc>
        <w:tc>
          <w:tcPr>
            <w:tcW w:w="749" w:type="dxa"/>
            <w:noWrap w:val="0"/>
            <w:vAlign w:val="center"/>
          </w:tcPr>
          <w:p w14:paraId="2E34D3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5CEC16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581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FCFDF0">
            <w:pPr>
              <w:pageBreakBefore w:val="0"/>
              <w:kinsoku/>
              <w:wordWrap w:val="0"/>
              <w:bidi w:val="0"/>
              <w:spacing w:line="360" w:lineRule="atLeast"/>
              <w:jc w:val="center"/>
              <w:rPr>
                <w:rFonts w:hint="default" w:ascii="Times New Roman" w:hAnsi="Times New Roman" w:cs="Times New Roman"/>
                <w:szCs w:val="21"/>
                <w:highlight w:val="none"/>
              </w:rPr>
            </w:pPr>
          </w:p>
        </w:tc>
      </w:tr>
      <w:tr w14:paraId="392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9DBDD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409</w:t>
            </w:r>
          </w:p>
        </w:tc>
        <w:tc>
          <w:tcPr>
            <w:tcW w:w="4732" w:type="dxa"/>
            <w:noWrap w:val="0"/>
            <w:vAlign w:val="center"/>
          </w:tcPr>
          <w:p w14:paraId="4101CB2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沉井</w:t>
            </w:r>
          </w:p>
        </w:tc>
        <w:tc>
          <w:tcPr>
            <w:tcW w:w="749" w:type="dxa"/>
            <w:noWrap w:val="0"/>
            <w:vAlign w:val="top"/>
          </w:tcPr>
          <w:p w14:paraId="0BFB978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1596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66A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AC9E79">
            <w:pPr>
              <w:pageBreakBefore w:val="0"/>
              <w:kinsoku/>
              <w:wordWrap w:val="0"/>
              <w:bidi w:val="0"/>
              <w:spacing w:line="360" w:lineRule="atLeast"/>
              <w:jc w:val="center"/>
              <w:rPr>
                <w:rFonts w:hint="default" w:ascii="Times New Roman" w:hAnsi="Times New Roman" w:cs="Times New Roman"/>
                <w:szCs w:val="21"/>
                <w:highlight w:val="none"/>
              </w:rPr>
            </w:pPr>
          </w:p>
        </w:tc>
      </w:tr>
      <w:tr w14:paraId="319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89AF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409-1</w:t>
            </w:r>
          </w:p>
        </w:tc>
        <w:tc>
          <w:tcPr>
            <w:tcW w:w="4732" w:type="dxa"/>
            <w:noWrap w:val="0"/>
            <w:vAlign w:val="center"/>
          </w:tcPr>
          <w:p w14:paraId="698E72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钢筋混凝土沉井</w:t>
            </w:r>
          </w:p>
        </w:tc>
        <w:tc>
          <w:tcPr>
            <w:tcW w:w="749" w:type="dxa"/>
            <w:noWrap w:val="0"/>
            <w:vAlign w:val="center"/>
          </w:tcPr>
          <w:p w14:paraId="61CA81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FA14D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F740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2F5D3E">
            <w:pPr>
              <w:pageBreakBefore w:val="0"/>
              <w:kinsoku/>
              <w:wordWrap w:val="0"/>
              <w:bidi w:val="0"/>
              <w:spacing w:line="360" w:lineRule="atLeast"/>
              <w:jc w:val="center"/>
              <w:rPr>
                <w:rFonts w:hint="default" w:ascii="Times New Roman" w:hAnsi="Times New Roman" w:cs="Times New Roman"/>
                <w:szCs w:val="21"/>
                <w:highlight w:val="none"/>
              </w:rPr>
            </w:pPr>
          </w:p>
        </w:tc>
      </w:tr>
      <w:tr w14:paraId="1BA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F238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C4812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井壁混凝土</w:t>
            </w:r>
          </w:p>
        </w:tc>
        <w:tc>
          <w:tcPr>
            <w:tcW w:w="749" w:type="dxa"/>
            <w:noWrap w:val="0"/>
            <w:vAlign w:val="center"/>
          </w:tcPr>
          <w:p w14:paraId="0D3FE1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96C1C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5CC5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CC1427">
            <w:pPr>
              <w:pageBreakBefore w:val="0"/>
              <w:kinsoku/>
              <w:wordWrap w:val="0"/>
              <w:bidi w:val="0"/>
              <w:spacing w:line="360" w:lineRule="atLeast"/>
              <w:jc w:val="center"/>
              <w:rPr>
                <w:rFonts w:hint="default" w:ascii="Times New Roman" w:hAnsi="Times New Roman" w:cs="Times New Roman"/>
                <w:szCs w:val="21"/>
                <w:highlight w:val="none"/>
              </w:rPr>
            </w:pPr>
          </w:p>
        </w:tc>
      </w:tr>
      <w:tr w14:paraId="783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D9D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8D7365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封底混凝土</w:t>
            </w:r>
          </w:p>
        </w:tc>
        <w:tc>
          <w:tcPr>
            <w:tcW w:w="749" w:type="dxa"/>
            <w:noWrap w:val="0"/>
            <w:vAlign w:val="center"/>
          </w:tcPr>
          <w:p w14:paraId="02602C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3EA2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CC9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261FC6">
            <w:pPr>
              <w:pageBreakBefore w:val="0"/>
              <w:kinsoku/>
              <w:wordWrap w:val="0"/>
              <w:bidi w:val="0"/>
              <w:spacing w:line="360" w:lineRule="atLeast"/>
              <w:jc w:val="center"/>
              <w:rPr>
                <w:rFonts w:hint="default" w:ascii="Times New Roman" w:hAnsi="Times New Roman" w:cs="Times New Roman"/>
                <w:szCs w:val="21"/>
                <w:highlight w:val="none"/>
              </w:rPr>
            </w:pPr>
          </w:p>
        </w:tc>
      </w:tr>
      <w:tr w14:paraId="016A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7E9F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7F0945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填芯混凝土</w:t>
            </w:r>
          </w:p>
        </w:tc>
        <w:tc>
          <w:tcPr>
            <w:tcW w:w="749" w:type="dxa"/>
            <w:noWrap w:val="0"/>
            <w:vAlign w:val="center"/>
          </w:tcPr>
          <w:p w14:paraId="1F085E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189E0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F5E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41FC0F">
            <w:pPr>
              <w:pageBreakBefore w:val="0"/>
              <w:kinsoku/>
              <w:wordWrap w:val="0"/>
              <w:bidi w:val="0"/>
              <w:spacing w:line="360" w:lineRule="atLeast"/>
              <w:jc w:val="center"/>
              <w:rPr>
                <w:rFonts w:hint="default" w:ascii="Times New Roman" w:hAnsi="Times New Roman" w:cs="Times New Roman"/>
                <w:szCs w:val="21"/>
                <w:highlight w:val="none"/>
              </w:rPr>
            </w:pPr>
          </w:p>
        </w:tc>
      </w:tr>
      <w:tr w14:paraId="2BA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60DF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B956A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顶板混凝土</w:t>
            </w:r>
          </w:p>
        </w:tc>
        <w:tc>
          <w:tcPr>
            <w:tcW w:w="749" w:type="dxa"/>
            <w:noWrap w:val="0"/>
            <w:vAlign w:val="center"/>
          </w:tcPr>
          <w:p w14:paraId="335653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4F4E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91DF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A8DF1">
            <w:pPr>
              <w:pageBreakBefore w:val="0"/>
              <w:kinsoku/>
              <w:wordWrap w:val="0"/>
              <w:bidi w:val="0"/>
              <w:spacing w:line="360" w:lineRule="atLeast"/>
              <w:jc w:val="center"/>
              <w:rPr>
                <w:rFonts w:hint="default" w:ascii="Times New Roman" w:hAnsi="Times New Roman" w:cs="Times New Roman"/>
                <w:szCs w:val="21"/>
                <w:highlight w:val="none"/>
              </w:rPr>
            </w:pPr>
          </w:p>
        </w:tc>
      </w:tr>
      <w:tr w14:paraId="207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EEA70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w:t>
            </w:r>
          </w:p>
        </w:tc>
        <w:tc>
          <w:tcPr>
            <w:tcW w:w="4732" w:type="dxa"/>
            <w:noWrap w:val="0"/>
            <w:vAlign w:val="center"/>
          </w:tcPr>
          <w:p w14:paraId="5463F76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结构混凝土工程</w:t>
            </w:r>
          </w:p>
        </w:tc>
        <w:tc>
          <w:tcPr>
            <w:tcW w:w="749" w:type="dxa"/>
            <w:noWrap w:val="0"/>
            <w:vAlign w:val="center"/>
          </w:tcPr>
          <w:p w14:paraId="16D55343">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53314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9FC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9B9A27">
            <w:pPr>
              <w:pageBreakBefore w:val="0"/>
              <w:kinsoku/>
              <w:wordWrap w:val="0"/>
              <w:bidi w:val="0"/>
              <w:spacing w:line="360" w:lineRule="atLeast"/>
              <w:jc w:val="center"/>
              <w:rPr>
                <w:rFonts w:hint="default" w:ascii="Times New Roman" w:hAnsi="Times New Roman" w:cs="Times New Roman"/>
                <w:szCs w:val="21"/>
                <w:highlight w:val="none"/>
              </w:rPr>
            </w:pPr>
          </w:p>
        </w:tc>
      </w:tr>
      <w:tr w14:paraId="4E8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13C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410-1</w:t>
            </w:r>
          </w:p>
        </w:tc>
        <w:tc>
          <w:tcPr>
            <w:tcW w:w="4732" w:type="dxa"/>
            <w:noWrap w:val="0"/>
            <w:vAlign w:val="center"/>
          </w:tcPr>
          <w:p w14:paraId="7DD9A3C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混凝土基础（包括支撑梁、桩基承台、桩系梁，但不包括桩基）</w:t>
            </w:r>
          </w:p>
        </w:tc>
        <w:tc>
          <w:tcPr>
            <w:tcW w:w="749" w:type="dxa"/>
            <w:noWrap w:val="0"/>
            <w:vAlign w:val="center"/>
          </w:tcPr>
          <w:p w14:paraId="3AD56C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m³</w:t>
            </w:r>
          </w:p>
        </w:tc>
        <w:tc>
          <w:tcPr>
            <w:tcW w:w="837" w:type="dxa"/>
            <w:noWrap w:val="0"/>
            <w:vAlign w:val="center"/>
          </w:tcPr>
          <w:p w14:paraId="411968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C6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14B5AF">
            <w:pPr>
              <w:pageBreakBefore w:val="0"/>
              <w:kinsoku/>
              <w:wordWrap w:val="0"/>
              <w:bidi w:val="0"/>
              <w:spacing w:line="360" w:lineRule="atLeast"/>
              <w:jc w:val="center"/>
              <w:rPr>
                <w:rFonts w:hint="default" w:ascii="Times New Roman" w:hAnsi="Times New Roman" w:cs="Times New Roman"/>
                <w:szCs w:val="21"/>
                <w:highlight w:val="none"/>
              </w:rPr>
            </w:pPr>
          </w:p>
        </w:tc>
      </w:tr>
      <w:tr w14:paraId="38B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88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410-2</w:t>
            </w:r>
          </w:p>
        </w:tc>
        <w:tc>
          <w:tcPr>
            <w:tcW w:w="4732" w:type="dxa"/>
            <w:noWrap w:val="0"/>
            <w:vAlign w:val="center"/>
          </w:tcPr>
          <w:p w14:paraId="2174F3E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混凝土下部结构</w:t>
            </w:r>
          </w:p>
        </w:tc>
        <w:tc>
          <w:tcPr>
            <w:tcW w:w="749" w:type="dxa"/>
            <w:noWrap w:val="0"/>
            <w:vAlign w:val="center"/>
          </w:tcPr>
          <w:p w14:paraId="115C7F63">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275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B390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F18FBD">
            <w:pPr>
              <w:pageBreakBefore w:val="0"/>
              <w:kinsoku/>
              <w:wordWrap w:val="0"/>
              <w:bidi w:val="0"/>
              <w:spacing w:line="360" w:lineRule="atLeast"/>
              <w:jc w:val="center"/>
              <w:rPr>
                <w:rFonts w:hint="default" w:ascii="Times New Roman" w:hAnsi="Times New Roman" w:cs="Times New Roman"/>
                <w:szCs w:val="21"/>
                <w:highlight w:val="none"/>
              </w:rPr>
            </w:pPr>
          </w:p>
        </w:tc>
      </w:tr>
      <w:tr w14:paraId="29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D5FF2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B4E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桥台混凝土</w:t>
            </w:r>
          </w:p>
        </w:tc>
        <w:tc>
          <w:tcPr>
            <w:tcW w:w="749" w:type="dxa"/>
            <w:noWrap w:val="0"/>
            <w:vAlign w:val="center"/>
          </w:tcPr>
          <w:p w14:paraId="563CD3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894A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D652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48444">
            <w:pPr>
              <w:pageBreakBefore w:val="0"/>
              <w:kinsoku/>
              <w:wordWrap w:val="0"/>
              <w:bidi w:val="0"/>
              <w:spacing w:line="360" w:lineRule="atLeast"/>
              <w:jc w:val="center"/>
              <w:rPr>
                <w:rFonts w:hint="default" w:ascii="Times New Roman" w:hAnsi="Times New Roman" w:cs="Times New Roman"/>
                <w:szCs w:val="21"/>
                <w:highlight w:val="none"/>
              </w:rPr>
            </w:pPr>
          </w:p>
        </w:tc>
      </w:tr>
      <w:tr w14:paraId="4A7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572F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117E0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桥墩混凝土</w:t>
            </w:r>
          </w:p>
        </w:tc>
        <w:tc>
          <w:tcPr>
            <w:tcW w:w="749" w:type="dxa"/>
            <w:noWrap w:val="0"/>
            <w:vAlign w:val="center"/>
          </w:tcPr>
          <w:p w14:paraId="15D2C1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9822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D663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4A3E8C">
            <w:pPr>
              <w:pageBreakBefore w:val="0"/>
              <w:kinsoku/>
              <w:wordWrap w:val="0"/>
              <w:bidi w:val="0"/>
              <w:spacing w:line="360" w:lineRule="atLeast"/>
              <w:jc w:val="center"/>
              <w:rPr>
                <w:rFonts w:hint="default" w:ascii="Times New Roman" w:hAnsi="Times New Roman" w:cs="Times New Roman"/>
                <w:szCs w:val="21"/>
                <w:highlight w:val="none"/>
              </w:rPr>
            </w:pPr>
          </w:p>
        </w:tc>
      </w:tr>
      <w:tr w14:paraId="4EB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3B9C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AFA777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盖梁混凝土</w:t>
            </w:r>
          </w:p>
        </w:tc>
        <w:tc>
          <w:tcPr>
            <w:tcW w:w="749" w:type="dxa"/>
            <w:noWrap w:val="0"/>
            <w:vAlign w:val="center"/>
          </w:tcPr>
          <w:p w14:paraId="5893EE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2176A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7681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A55ABB">
            <w:pPr>
              <w:pageBreakBefore w:val="0"/>
              <w:kinsoku/>
              <w:wordWrap w:val="0"/>
              <w:bidi w:val="0"/>
              <w:spacing w:line="360" w:lineRule="atLeast"/>
              <w:jc w:val="center"/>
              <w:rPr>
                <w:rFonts w:hint="default" w:ascii="Times New Roman" w:hAnsi="Times New Roman" w:cs="Times New Roman"/>
                <w:szCs w:val="21"/>
                <w:highlight w:val="none"/>
              </w:rPr>
            </w:pPr>
          </w:p>
        </w:tc>
      </w:tr>
      <w:tr w14:paraId="4FE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5E5D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827DA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台帽混凝土</w:t>
            </w:r>
          </w:p>
        </w:tc>
        <w:tc>
          <w:tcPr>
            <w:tcW w:w="749" w:type="dxa"/>
            <w:noWrap w:val="0"/>
            <w:vAlign w:val="center"/>
          </w:tcPr>
          <w:p w14:paraId="0E9F42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03BFE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60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D1656C">
            <w:pPr>
              <w:pageBreakBefore w:val="0"/>
              <w:kinsoku/>
              <w:wordWrap w:val="0"/>
              <w:bidi w:val="0"/>
              <w:spacing w:line="360" w:lineRule="atLeast"/>
              <w:jc w:val="center"/>
              <w:rPr>
                <w:rFonts w:hint="default" w:ascii="Times New Roman" w:hAnsi="Times New Roman" w:cs="Times New Roman"/>
                <w:szCs w:val="21"/>
                <w:highlight w:val="none"/>
              </w:rPr>
            </w:pPr>
          </w:p>
        </w:tc>
      </w:tr>
      <w:tr w14:paraId="5DF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09272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410-3</w:t>
            </w:r>
          </w:p>
        </w:tc>
        <w:tc>
          <w:tcPr>
            <w:tcW w:w="4732" w:type="dxa"/>
            <w:noWrap w:val="0"/>
            <w:vAlign w:val="center"/>
          </w:tcPr>
          <w:p w14:paraId="43D3B61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现浇混凝土上部结构</w:t>
            </w:r>
          </w:p>
        </w:tc>
        <w:tc>
          <w:tcPr>
            <w:tcW w:w="749" w:type="dxa"/>
            <w:noWrap w:val="0"/>
            <w:vAlign w:val="center"/>
          </w:tcPr>
          <w:p w14:paraId="5AC4913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0358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382F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17E2F">
            <w:pPr>
              <w:pageBreakBefore w:val="0"/>
              <w:kinsoku/>
              <w:wordWrap w:val="0"/>
              <w:bidi w:val="0"/>
              <w:spacing w:line="360" w:lineRule="atLeast"/>
              <w:jc w:val="center"/>
              <w:rPr>
                <w:rFonts w:hint="default" w:ascii="Times New Roman" w:hAnsi="Times New Roman" w:cs="Times New Roman"/>
                <w:szCs w:val="21"/>
                <w:highlight w:val="none"/>
              </w:rPr>
            </w:pPr>
          </w:p>
        </w:tc>
      </w:tr>
      <w:tr w14:paraId="1B3D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EE7D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410-4</w:t>
            </w:r>
          </w:p>
        </w:tc>
        <w:tc>
          <w:tcPr>
            <w:tcW w:w="4732" w:type="dxa"/>
            <w:noWrap w:val="0"/>
            <w:vAlign w:val="center"/>
          </w:tcPr>
          <w:p w14:paraId="0304EE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预制混凝土上部结构</w:t>
            </w:r>
          </w:p>
        </w:tc>
        <w:tc>
          <w:tcPr>
            <w:tcW w:w="749" w:type="dxa"/>
            <w:noWrap w:val="0"/>
            <w:vAlign w:val="center"/>
          </w:tcPr>
          <w:p w14:paraId="0B687F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5FA01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78B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BA95F1">
            <w:pPr>
              <w:pageBreakBefore w:val="0"/>
              <w:kinsoku/>
              <w:wordWrap w:val="0"/>
              <w:bidi w:val="0"/>
              <w:spacing w:line="360" w:lineRule="atLeast"/>
              <w:jc w:val="center"/>
              <w:rPr>
                <w:rFonts w:hint="default" w:ascii="Times New Roman" w:hAnsi="Times New Roman" w:cs="Times New Roman"/>
                <w:szCs w:val="21"/>
                <w:highlight w:val="none"/>
              </w:rPr>
            </w:pPr>
          </w:p>
        </w:tc>
      </w:tr>
      <w:tr w14:paraId="35A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9D7B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410-5</w:t>
            </w:r>
          </w:p>
        </w:tc>
        <w:tc>
          <w:tcPr>
            <w:tcW w:w="4732" w:type="dxa"/>
            <w:noWrap w:val="0"/>
            <w:vAlign w:val="center"/>
          </w:tcPr>
          <w:p w14:paraId="39028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桥梁上部结构现浇整体化混凝土</w:t>
            </w:r>
          </w:p>
        </w:tc>
        <w:tc>
          <w:tcPr>
            <w:tcW w:w="749" w:type="dxa"/>
            <w:noWrap w:val="0"/>
            <w:vAlign w:val="center"/>
          </w:tcPr>
          <w:p w14:paraId="100B0A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　</w:t>
            </w:r>
          </w:p>
        </w:tc>
        <w:tc>
          <w:tcPr>
            <w:tcW w:w="837" w:type="dxa"/>
            <w:noWrap w:val="0"/>
            <w:vAlign w:val="center"/>
          </w:tcPr>
          <w:p w14:paraId="6820BC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7CE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26C943">
            <w:pPr>
              <w:pageBreakBefore w:val="0"/>
              <w:kinsoku/>
              <w:wordWrap w:val="0"/>
              <w:bidi w:val="0"/>
              <w:spacing w:line="360" w:lineRule="atLeast"/>
              <w:jc w:val="center"/>
              <w:rPr>
                <w:rFonts w:hint="default" w:ascii="Times New Roman" w:hAnsi="Times New Roman" w:cs="Times New Roman"/>
                <w:szCs w:val="21"/>
                <w:highlight w:val="none"/>
              </w:rPr>
            </w:pPr>
          </w:p>
        </w:tc>
      </w:tr>
      <w:tr w14:paraId="004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57A3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410-6</w:t>
            </w:r>
          </w:p>
        </w:tc>
        <w:tc>
          <w:tcPr>
            <w:tcW w:w="4732" w:type="dxa"/>
            <w:noWrap w:val="0"/>
            <w:vAlign w:val="center"/>
          </w:tcPr>
          <w:p w14:paraId="6BB124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现浇混凝土附属结构</w:t>
            </w:r>
          </w:p>
        </w:tc>
        <w:tc>
          <w:tcPr>
            <w:tcW w:w="749" w:type="dxa"/>
            <w:noWrap w:val="0"/>
            <w:vAlign w:val="center"/>
          </w:tcPr>
          <w:p w14:paraId="00630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C4345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E6F3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90C20">
            <w:pPr>
              <w:pageBreakBefore w:val="0"/>
              <w:kinsoku/>
              <w:wordWrap w:val="0"/>
              <w:bidi w:val="0"/>
              <w:spacing w:line="360" w:lineRule="atLeast"/>
              <w:jc w:val="center"/>
              <w:rPr>
                <w:rFonts w:hint="default" w:ascii="Times New Roman" w:hAnsi="Times New Roman" w:cs="Times New Roman"/>
                <w:szCs w:val="21"/>
                <w:highlight w:val="none"/>
              </w:rPr>
            </w:pPr>
          </w:p>
        </w:tc>
      </w:tr>
      <w:tr w14:paraId="146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8E29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410-7</w:t>
            </w:r>
          </w:p>
        </w:tc>
        <w:tc>
          <w:tcPr>
            <w:tcW w:w="4732" w:type="dxa"/>
            <w:noWrap w:val="0"/>
            <w:vAlign w:val="center"/>
          </w:tcPr>
          <w:p w14:paraId="06C9110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预制混凝土附属结构</w:t>
            </w:r>
          </w:p>
        </w:tc>
        <w:tc>
          <w:tcPr>
            <w:tcW w:w="749" w:type="dxa"/>
            <w:noWrap w:val="0"/>
            <w:vAlign w:val="center"/>
          </w:tcPr>
          <w:p w14:paraId="744217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73664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6D85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096DD5">
            <w:pPr>
              <w:pageBreakBefore w:val="0"/>
              <w:kinsoku/>
              <w:wordWrap w:val="0"/>
              <w:bidi w:val="0"/>
              <w:spacing w:line="360" w:lineRule="atLeast"/>
              <w:jc w:val="center"/>
              <w:rPr>
                <w:rFonts w:hint="default" w:ascii="Times New Roman" w:hAnsi="Times New Roman" w:cs="Times New Roman"/>
                <w:szCs w:val="21"/>
                <w:highlight w:val="none"/>
              </w:rPr>
            </w:pPr>
          </w:p>
        </w:tc>
      </w:tr>
      <w:tr w14:paraId="010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E2515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411</w:t>
            </w:r>
          </w:p>
        </w:tc>
        <w:tc>
          <w:tcPr>
            <w:tcW w:w="4732" w:type="dxa"/>
            <w:noWrap w:val="0"/>
            <w:vAlign w:val="center"/>
          </w:tcPr>
          <w:p w14:paraId="6490148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预应力混凝土工程</w:t>
            </w:r>
          </w:p>
        </w:tc>
        <w:tc>
          <w:tcPr>
            <w:tcW w:w="749" w:type="dxa"/>
            <w:noWrap w:val="0"/>
            <w:vAlign w:val="top"/>
          </w:tcPr>
          <w:p w14:paraId="462652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6FD56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CD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29171">
            <w:pPr>
              <w:pageBreakBefore w:val="0"/>
              <w:kinsoku/>
              <w:wordWrap w:val="0"/>
              <w:bidi w:val="0"/>
              <w:spacing w:line="360" w:lineRule="atLeast"/>
              <w:jc w:val="center"/>
              <w:rPr>
                <w:rFonts w:hint="default" w:ascii="Times New Roman" w:hAnsi="Times New Roman" w:cs="Times New Roman"/>
                <w:szCs w:val="21"/>
                <w:highlight w:val="none"/>
              </w:rPr>
            </w:pPr>
          </w:p>
        </w:tc>
      </w:tr>
      <w:tr w14:paraId="43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3F56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411-1</w:t>
            </w:r>
          </w:p>
        </w:tc>
        <w:tc>
          <w:tcPr>
            <w:tcW w:w="4732" w:type="dxa"/>
            <w:noWrap w:val="0"/>
            <w:vAlign w:val="center"/>
          </w:tcPr>
          <w:p w14:paraId="3AB85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0E927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72239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D1CD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5812A">
            <w:pPr>
              <w:pageBreakBefore w:val="0"/>
              <w:kinsoku/>
              <w:wordWrap w:val="0"/>
              <w:bidi w:val="0"/>
              <w:spacing w:line="360" w:lineRule="atLeast"/>
              <w:jc w:val="center"/>
              <w:rPr>
                <w:rFonts w:hint="default" w:ascii="Times New Roman" w:hAnsi="Times New Roman" w:cs="Times New Roman"/>
                <w:szCs w:val="21"/>
                <w:highlight w:val="none"/>
              </w:rPr>
            </w:pPr>
          </w:p>
        </w:tc>
      </w:tr>
      <w:tr w14:paraId="424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F386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411-2</w:t>
            </w:r>
          </w:p>
        </w:tc>
        <w:tc>
          <w:tcPr>
            <w:tcW w:w="4732" w:type="dxa"/>
            <w:noWrap w:val="0"/>
            <w:vAlign w:val="center"/>
          </w:tcPr>
          <w:p w14:paraId="3F80B7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09FB3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A0A4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FD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15493">
            <w:pPr>
              <w:pageBreakBefore w:val="0"/>
              <w:kinsoku/>
              <w:wordWrap w:val="0"/>
              <w:bidi w:val="0"/>
              <w:spacing w:line="360" w:lineRule="atLeast"/>
              <w:jc w:val="center"/>
              <w:rPr>
                <w:rFonts w:hint="default" w:ascii="Times New Roman" w:hAnsi="Times New Roman" w:cs="Times New Roman"/>
                <w:szCs w:val="21"/>
                <w:highlight w:val="none"/>
              </w:rPr>
            </w:pPr>
          </w:p>
        </w:tc>
      </w:tr>
      <w:tr w14:paraId="117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5DF9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411-3</w:t>
            </w:r>
          </w:p>
        </w:tc>
        <w:tc>
          <w:tcPr>
            <w:tcW w:w="4732" w:type="dxa"/>
            <w:noWrap w:val="0"/>
            <w:vAlign w:val="center"/>
          </w:tcPr>
          <w:p w14:paraId="4843F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244ACB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AF66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46CB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82615">
            <w:pPr>
              <w:pageBreakBefore w:val="0"/>
              <w:kinsoku/>
              <w:wordWrap w:val="0"/>
              <w:bidi w:val="0"/>
              <w:spacing w:line="360" w:lineRule="atLeast"/>
              <w:jc w:val="center"/>
              <w:rPr>
                <w:rFonts w:hint="default" w:ascii="Times New Roman" w:hAnsi="Times New Roman" w:cs="Times New Roman"/>
                <w:szCs w:val="21"/>
                <w:highlight w:val="none"/>
              </w:rPr>
            </w:pPr>
          </w:p>
        </w:tc>
      </w:tr>
      <w:tr w14:paraId="7F9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A955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411-4</w:t>
            </w:r>
          </w:p>
        </w:tc>
        <w:tc>
          <w:tcPr>
            <w:tcW w:w="4732" w:type="dxa"/>
            <w:noWrap w:val="0"/>
            <w:vAlign w:val="center"/>
          </w:tcPr>
          <w:p w14:paraId="1933D2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ED7E3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F842B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8CB9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4ED87">
            <w:pPr>
              <w:pageBreakBefore w:val="0"/>
              <w:kinsoku/>
              <w:wordWrap w:val="0"/>
              <w:bidi w:val="0"/>
              <w:spacing w:line="360" w:lineRule="atLeast"/>
              <w:jc w:val="center"/>
              <w:rPr>
                <w:rFonts w:hint="default" w:ascii="Times New Roman" w:hAnsi="Times New Roman" w:cs="Times New Roman"/>
                <w:szCs w:val="21"/>
                <w:highlight w:val="none"/>
              </w:rPr>
            </w:pPr>
          </w:p>
        </w:tc>
      </w:tr>
      <w:tr w14:paraId="0A9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8E13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411-5</w:t>
            </w:r>
          </w:p>
        </w:tc>
        <w:tc>
          <w:tcPr>
            <w:tcW w:w="4732" w:type="dxa"/>
            <w:noWrap w:val="0"/>
            <w:vAlign w:val="center"/>
          </w:tcPr>
          <w:p w14:paraId="35BABD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5A8D73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C402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E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3BE97">
            <w:pPr>
              <w:pageBreakBefore w:val="0"/>
              <w:kinsoku/>
              <w:wordWrap w:val="0"/>
              <w:bidi w:val="0"/>
              <w:spacing w:line="360" w:lineRule="atLeast"/>
              <w:jc w:val="center"/>
              <w:rPr>
                <w:rFonts w:hint="default" w:ascii="Times New Roman" w:hAnsi="Times New Roman" w:cs="Times New Roman"/>
                <w:szCs w:val="21"/>
                <w:highlight w:val="none"/>
              </w:rPr>
            </w:pPr>
          </w:p>
        </w:tc>
      </w:tr>
      <w:tr w14:paraId="3C4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BEF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411-6</w:t>
            </w:r>
          </w:p>
        </w:tc>
        <w:tc>
          <w:tcPr>
            <w:tcW w:w="4732" w:type="dxa"/>
            <w:noWrap w:val="0"/>
            <w:vAlign w:val="center"/>
          </w:tcPr>
          <w:p w14:paraId="115064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091BA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7A348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CAB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3DF73">
            <w:pPr>
              <w:pageBreakBefore w:val="0"/>
              <w:kinsoku/>
              <w:wordWrap w:val="0"/>
              <w:bidi w:val="0"/>
              <w:spacing w:line="360" w:lineRule="atLeast"/>
              <w:jc w:val="center"/>
              <w:rPr>
                <w:rFonts w:hint="default" w:ascii="Times New Roman" w:hAnsi="Times New Roman" w:cs="Times New Roman"/>
                <w:szCs w:val="21"/>
                <w:highlight w:val="none"/>
              </w:rPr>
            </w:pPr>
          </w:p>
        </w:tc>
      </w:tr>
      <w:tr w14:paraId="54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4AF3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411-7</w:t>
            </w:r>
          </w:p>
        </w:tc>
        <w:tc>
          <w:tcPr>
            <w:tcW w:w="4732" w:type="dxa"/>
            <w:noWrap w:val="0"/>
            <w:vAlign w:val="center"/>
          </w:tcPr>
          <w:p w14:paraId="1C2E92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现浇预应力混凝土上部结构</w:t>
            </w:r>
          </w:p>
        </w:tc>
        <w:tc>
          <w:tcPr>
            <w:tcW w:w="749" w:type="dxa"/>
            <w:noWrap w:val="0"/>
            <w:vAlign w:val="center"/>
          </w:tcPr>
          <w:p w14:paraId="05FA85D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B6D0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DC3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9DC6E">
            <w:pPr>
              <w:pageBreakBefore w:val="0"/>
              <w:kinsoku/>
              <w:wordWrap w:val="0"/>
              <w:bidi w:val="0"/>
              <w:spacing w:line="360" w:lineRule="atLeast"/>
              <w:jc w:val="center"/>
              <w:rPr>
                <w:rFonts w:hint="default" w:ascii="Times New Roman" w:hAnsi="Times New Roman" w:cs="Times New Roman"/>
                <w:szCs w:val="21"/>
                <w:highlight w:val="none"/>
              </w:rPr>
            </w:pPr>
          </w:p>
        </w:tc>
      </w:tr>
      <w:tr w14:paraId="4A1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7860B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411-8</w:t>
            </w:r>
          </w:p>
        </w:tc>
        <w:tc>
          <w:tcPr>
            <w:tcW w:w="4732" w:type="dxa"/>
            <w:noWrap w:val="0"/>
            <w:vAlign w:val="center"/>
          </w:tcPr>
          <w:p w14:paraId="2C5179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预制预应力混凝土上部结构</w:t>
            </w:r>
          </w:p>
        </w:tc>
        <w:tc>
          <w:tcPr>
            <w:tcW w:w="749" w:type="dxa"/>
            <w:noWrap w:val="0"/>
            <w:vAlign w:val="center"/>
          </w:tcPr>
          <w:p w14:paraId="47F11F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7FAA3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66F8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1ED3E4">
            <w:pPr>
              <w:pageBreakBefore w:val="0"/>
              <w:kinsoku/>
              <w:wordWrap w:val="0"/>
              <w:bidi w:val="0"/>
              <w:spacing w:line="360" w:lineRule="atLeast"/>
              <w:jc w:val="center"/>
              <w:rPr>
                <w:rFonts w:hint="default" w:ascii="Times New Roman" w:hAnsi="Times New Roman" w:cs="Times New Roman"/>
                <w:szCs w:val="21"/>
                <w:highlight w:val="none"/>
              </w:rPr>
            </w:pPr>
          </w:p>
        </w:tc>
      </w:tr>
      <w:tr w14:paraId="2C5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50E30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413</w:t>
            </w:r>
          </w:p>
        </w:tc>
        <w:tc>
          <w:tcPr>
            <w:tcW w:w="4732" w:type="dxa"/>
            <w:noWrap w:val="0"/>
            <w:vAlign w:val="center"/>
          </w:tcPr>
          <w:p w14:paraId="4BD903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砌石工程</w:t>
            </w:r>
          </w:p>
        </w:tc>
        <w:tc>
          <w:tcPr>
            <w:tcW w:w="749" w:type="dxa"/>
            <w:noWrap w:val="0"/>
            <w:vAlign w:val="top"/>
          </w:tcPr>
          <w:p w14:paraId="7743491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8B42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CCA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5D7300">
            <w:pPr>
              <w:pageBreakBefore w:val="0"/>
              <w:kinsoku/>
              <w:wordWrap w:val="0"/>
              <w:bidi w:val="0"/>
              <w:spacing w:line="360" w:lineRule="atLeast"/>
              <w:jc w:val="center"/>
              <w:rPr>
                <w:rFonts w:hint="default" w:ascii="Times New Roman" w:hAnsi="Times New Roman" w:cs="Times New Roman"/>
                <w:szCs w:val="21"/>
                <w:highlight w:val="none"/>
              </w:rPr>
            </w:pPr>
          </w:p>
        </w:tc>
      </w:tr>
      <w:tr w14:paraId="0E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D03CB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413-1</w:t>
            </w:r>
          </w:p>
        </w:tc>
        <w:tc>
          <w:tcPr>
            <w:tcW w:w="4732" w:type="dxa"/>
            <w:noWrap w:val="0"/>
            <w:vAlign w:val="center"/>
          </w:tcPr>
          <w:p w14:paraId="18DAB2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top"/>
          </w:tcPr>
          <w:p w14:paraId="60D480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AFE08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A37E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A880C9">
            <w:pPr>
              <w:pageBreakBefore w:val="0"/>
              <w:kinsoku/>
              <w:wordWrap w:val="0"/>
              <w:bidi w:val="0"/>
              <w:spacing w:line="360" w:lineRule="atLeast"/>
              <w:jc w:val="center"/>
              <w:rPr>
                <w:rFonts w:hint="default" w:ascii="Times New Roman" w:hAnsi="Times New Roman" w:cs="Times New Roman"/>
                <w:szCs w:val="21"/>
                <w:highlight w:val="none"/>
              </w:rPr>
            </w:pPr>
          </w:p>
        </w:tc>
      </w:tr>
      <w:tr w14:paraId="395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6313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2A0C5F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5435E4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6370B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8ED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5094B6">
            <w:pPr>
              <w:pageBreakBefore w:val="0"/>
              <w:kinsoku/>
              <w:wordWrap w:val="0"/>
              <w:bidi w:val="0"/>
              <w:spacing w:line="360" w:lineRule="atLeast"/>
              <w:jc w:val="center"/>
              <w:rPr>
                <w:rFonts w:hint="default" w:ascii="Times New Roman" w:hAnsi="Times New Roman" w:cs="Times New Roman"/>
                <w:szCs w:val="21"/>
                <w:highlight w:val="none"/>
              </w:rPr>
            </w:pPr>
          </w:p>
        </w:tc>
      </w:tr>
      <w:tr w14:paraId="4FC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B823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413-2</w:t>
            </w:r>
          </w:p>
        </w:tc>
        <w:tc>
          <w:tcPr>
            <w:tcW w:w="4732" w:type="dxa"/>
            <w:noWrap w:val="0"/>
            <w:vAlign w:val="center"/>
          </w:tcPr>
          <w:p w14:paraId="696D5B7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浆砌块石</w:t>
            </w:r>
          </w:p>
        </w:tc>
        <w:tc>
          <w:tcPr>
            <w:tcW w:w="749" w:type="dxa"/>
            <w:noWrap w:val="0"/>
            <w:vAlign w:val="top"/>
          </w:tcPr>
          <w:p w14:paraId="7F3374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1E62F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3BB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A0C6F">
            <w:pPr>
              <w:pageBreakBefore w:val="0"/>
              <w:kinsoku/>
              <w:wordWrap w:val="0"/>
              <w:bidi w:val="0"/>
              <w:spacing w:line="360" w:lineRule="atLeast"/>
              <w:jc w:val="center"/>
              <w:rPr>
                <w:rFonts w:hint="default" w:ascii="Times New Roman" w:hAnsi="Times New Roman" w:cs="Times New Roman"/>
                <w:szCs w:val="21"/>
                <w:highlight w:val="none"/>
              </w:rPr>
            </w:pPr>
          </w:p>
        </w:tc>
      </w:tr>
      <w:tr w14:paraId="2D7C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B65C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03EB23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67FE13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6D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CD5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62CBB">
            <w:pPr>
              <w:pageBreakBefore w:val="0"/>
              <w:kinsoku/>
              <w:wordWrap w:val="0"/>
              <w:bidi w:val="0"/>
              <w:spacing w:line="360" w:lineRule="atLeast"/>
              <w:jc w:val="center"/>
              <w:rPr>
                <w:rFonts w:hint="default" w:ascii="Times New Roman" w:hAnsi="Times New Roman" w:cs="Times New Roman"/>
                <w:szCs w:val="21"/>
                <w:highlight w:val="none"/>
              </w:rPr>
            </w:pPr>
          </w:p>
        </w:tc>
      </w:tr>
      <w:tr w14:paraId="5E4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A133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413-3</w:t>
            </w:r>
          </w:p>
        </w:tc>
        <w:tc>
          <w:tcPr>
            <w:tcW w:w="4732" w:type="dxa"/>
            <w:noWrap w:val="0"/>
            <w:vAlign w:val="center"/>
          </w:tcPr>
          <w:p w14:paraId="40C43C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浆砌料石</w:t>
            </w:r>
          </w:p>
        </w:tc>
        <w:tc>
          <w:tcPr>
            <w:tcW w:w="749" w:type="dxa"/>
            <w:noWrap w:val="0"/>
            <w:vAlign w:val="top"/>
          </w:tcPr>
          <w:p w14:paraId="338D1DE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8524F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0092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19F3CD">
            <w:pPr>
              <w:pageBreakBefore w:val="0"/>
              <w:kinsoku/>
              <w:wordWrap w:val="0"/>
              <w:bidi w:val="0"/>
              <w:spacing w:line="360" w:lineRule="atLeast"/>
              <w:jc w:val="center"/>
              <w:rPr>
                <w:rFonts w:hint="default" w:ascii="Times New Roman" w:hAnsi="Times New Roman" w:cs="Times New Roman"/>
                <w:szCs w:val="21"/>
                <w:highlight w:val="none"/>
              </w:rPr>
            </w:pPr>
          </w:p>
        </w:tc>
      </w:tr>
      <w:tr w14:paraId="2E7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AA1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3CD718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38058F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D7D2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D05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D3842F6">
            <w:pPr>
              <w:pageBreakBefore w:val="0"/>
              <w:kinsoku/>
              <w:wordWrap w:val="0"/>
              <w:bidi w:val="0"/>
              <w:spacing w:line="360" w:lineRule="atLeast"/>
              <w:jc w:val="center"/>
              <w:rPr>
                <w:rFonts w:hint="default" w:ascii="Times New Roman" w:hAnsi="Times New Roman" w:cs="Times New Roman"/>
                <w:szCs w:val="21"/>
                <w:highlight w:val="none"/>
              </w:rPr>
            </w:pPr>
          </w:p>
        </w:tc>
      </w:tr>
      <w:tr w14:paraId="783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0363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413-4</w:t>
            </w:r>
          </w:p>
        </w:tc>
        <w:tc>
          <w:tcPr>
            <w:tcW w:w="4732" w:type="dxa"/>
            <w:noWrap w:val="0"/>
            <w:vAlign w:val="center"/>
          </w:tcPr>
          <w:p w14:paraId="16243D3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浆砌预制混凝土块</w:t>
            </w:r>
          </w:p>
        </w:tc>
        <w:tc>
          <w:tcPr>
            <w:tcW w:w="749" w:type="dxa"/>
            <w:noWrap w:val="0"/>
            <w:vAlign w:val="top"/>
          </w:tcPr>
          <w:p w14:paraId="74AA2B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A4BF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5BD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208518">
            <w:pPr>
              <w:pageBreakBefore w:val="0"/>
              <w:kinsoku/>
              <w:wordWrap w:val="0"/>
              <w:bidi w:val="0"/>
              <w:spacing w:line="360" w:lineRule="atLeast"/>
              <w:jc w:val="center"/>
              <w:rPr>
                <w:rFonts w:hint="default" w:ascii="Times New Roman" w:hAnsi="Times New Roman" w:cs="Times New Roman"/>
                <w:szCs w:val="21"/>
                <w:highlight w:val="none"/>
              </w:rPr>
            </w:pPr>
          </w:p>
        </w:tc>
      </w:tr>
      <w:tr w14:paraId="6AD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1AA12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8DE23C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2A29558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B053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C328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434230">
            <w:pPr>
              <w:pageBreakBefore w:val="0"/>
              <w:kinsoku/>
              <w:wordWrap w:val="0"/>
              <w:bidi w:val="0"/>
              <w:spacing w:line="360" w:lineRule="atLeast"/>
              <w:jc w:val="center"/>
              <w:rPr>
                <w:rFonts w:hint="default" w:ascii="Times New Roman" w:hAnsi="Times New Roman" w:cs="Times New Roman"/>
                <w:szCs w:val="21"/>
                <w:highlight w:val="none"/>
              </w:rPr>
            </w:pPr>
          </w:p>
        </w:tc>
      </w:tr>
      <w:tr w14:paraId="761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ABD24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w:t>
            </w:r>
          </w:p>
        </w:tc>
        <w:tc>
          <w:tcPr>
            <w:tcW w:w="4732" w:type="dxa"/>
            <w:noWrap w:val="0"/>
            <w:vAlign w:val="center"/>
          </w:tcPr>
          <w:p w14:paraId="225EE75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桥面铺装</w:t>
            </w:r>
          </w:p>
        </w:tc>
        <w:tc>
          <w:tcPr>
            <w:tcW w:w="749" w:type="dxa"/>
            <w:noWrap w:val="0"/>
            <w:vAlign w:val="top"/>
          </w:tcPr>
          <w:p w14:paraId="748C21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8B4F0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B54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2EC281">
            <w:pPr>
              <w:pageBreakBefore w:val="0"/>
              <w:kinsoku/>
              <w:wordWrap w:val="0"/>
              <w:bidi w:val="0"/>
              <w:spacing w:line="360" w:lineRule="atLeast"/>
              <w:jc w:val="center"/>
              <w:rPr>
                <w:rFonts w:hint="default" w:ascii="Times New Roman" w:hAnsi="Times New Roman" w:cs="Times New Roman"/>
                <w:szCs w:val="21"/>
                <w:highlight w:val="none"/>
              </w:rPr>
            </w:pPr>
          </w:p>
        </w:tc>
      </w:tr>
      <w:tr w14:paraId="086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2F8E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415-1</w:t>
            </w:r>
          </w:p>
        </w:tc>
        <w:tc>
          <w:tcPr>
            <w:tcW w:w="4732" w:type="dxa"/>
            <w:noWrap w:val="0"/>
            <w:vAlign w:val="center"/>
          </w:tcPr>
          <w:p w14:paraId="3C0EEA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沥青混凝土桥面铺装</w:t>
            </w:r>
          </w:p>
        </w:tc>
        <w:tc>
          <w:tcPr>
            <w:tcW w:w="749" w:type="dxa"/>
            <w:noWrap w:val="0"/>
            <w:vAlign w:val="center"/>
          </w:tcPr>
          <w:p w14:paraId="2F0723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6730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BB02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3B13D">
            <w:pPr>
              <w:pageBreakBefore w:val="0"/>
              <w:kinsoku/>
              <w:wordWrap w:val="0"/>
              <w:bidi w:val="0"/>
              <w:spacing w:line="360" w:lineRule="atLeast"/>
              <w:jc w:val="center"/>
              <w:rPr>
                <w:rFonts w:hint="default" w:ascii="Times New Roman" w:hAnsi="Times New Roman" w:cs="Times New Roman"/>
                <w:szCs w:val="21"/>
                <w:highlight w:val="none"/>
              </w:rPr>
            </w:pPr>
          </w:p>
        </w:tc>
      </w:tr>
      <w:tr w14:paraId="31E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F82A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415-2</w:t>
            </w:r>
          </w:p>
        </w:tc>
        <w:tc>
          <w:tcPr>
            <w:tcW w:w="4732" w:type="dxa"/>
            <w:noWrap w:val="0"/>
            <w:vAlign w:val="center"/>
          </w:tcPr>
          <w:p w14:paraId="007FECA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水泥混凝土桥面铺装</w:t>
            </w:r>
          </w:p>
        </w:tc>
        <w:tc>
          <w:tcPr>
            <w:tcW w:w="749" w:type="dxa"/>
            <w:noWrap w:val="0"/>
            <w:vAlign w:val="center"/>
          </w:tcPr>
          <w:p w14:paraId="543DD1E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A3966C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32C0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6882AE">
            <w:pPr>
              <w:pageBreakBefore w:val="0"/>
              <w:kinsoku/>
              <w:wordWrap w:val="0"/>
              <w:bidi w:val="0"/>
              <w:spacing w:line="360" w:lineRule="atLeast"/>
              <w:jc w:val="center"/>
              <w:rPr>
                <w:rFonts w:hint="default" w:ascii="Times New Roman" w:hAnsi="Times New Roman" w:cs="Times New Roman"/>
                <w:szCs w:val="21"/>
                <w:highlight w:val="none"/>
              </w:rPr>
            </w:pPr>
          </w:p>
        </w:tc>
      </w:tr>
      <w:tr w14:paraId="1CF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DEB2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415-3</w:t>
            </w:r>
          </w:p>
        </w:tc>
        <w:tc>
          <w:tcPr>
            <w:tcW w:w="4732" w:type="dxa"/>
            <w:noWrap w:val="0"/>
            <w:vAlign w:val="center"/>
          </w:tcPr>
          <w:p w14:paraId="5D6B8F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749" w:type="dxa"/>
            <w:noWrap w:val="0"/>
            <w:vAlign w:val="center"/>
          </w:tcPr>
          <w:p w14:paraId="5ACABBA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21F4D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6E3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D22">
            <w:pPr>
              <w:pageBreakBefore w:val="0"/>
              <w:kinsoku/>
              <w:wordWrap w:val="0"/>
              <w:bidi w:val="0"/>
              <w:spacing w:line="360" w:lineRule="atLeast"/>
              <w:jc w:val="center"/>
              <w:rPr>
                <w:rFonts w:hint="default" w:ascii="Times New Roman" w:hAnsi="Times New Roman" w:cs="Times New Roman"/>
                <w:szCs w:val="21"/>
                <w:highlight w:val="none"/>
              </w:rPr>
            </w:pPr>
          </w:p>
        </w:tc>
      </w:tr>
      <w:tr w14:paraId="63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3609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6BDC87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桥面混凝土表面处理</w:t>
            </w:r>
          </w:p>
        </w:tc>
        <w:tc>
          <w:tcPr>
            <w:tcW w:w="749" w:type="dxa"/>
            <w:noWrap w:val="0"/>
            <w:vAlign w:val="center"/>
          </w:tcPr>
          <w:p w14:paraId="28DF23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40433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4FA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4047A0">
            <w:pPr>
              <w:pageBreakBefore w:val="0"/>
              <w:kinsoku/>
              <w:wordWrap w:val="0"/>
              <w:bidi w:val="0"/>
              <w:spacing w:line="360" w:lineRule="atLeast"/>
              <w:jc w:val="center"/>
              <w:rPr>
                <w:rFonts w:hint="default" w:ascii="Times New Roman" w:hAnsi="Times New Roman" w:cs="Times New Roman"/>
                <w:szCs w:val="21"/>
                <w:highlight w:val="none"/>
              </w:rPr>
            </w:pPr>
          </w:p>
        </w:tc>
      </w:tr>
      <w:tr w14:paraId="5C8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70B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E4147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铺设防水层</w:t>
            </w:r>
          </w:p>
        </w:tc>
        <w:tc>
          <w:tcPr>
            <w:tcW w:w="749" w:type="dxa"/>
            <w:noWrap w:val="0"/>
            <w:vAlign w:val="center"/>
          </w:tcPr>
          <w:p w14:paraId="334EA1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48F59C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B112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948A90">
            <w:pPr>
              <w:pageBreakBefore w:val="0"/>
              <w:kinsoku/>
              <w:wordWrap w:val="0"/>
              <w:bidi w:val="0"/>
              <w:spacing w:line="360" w:lineRule="atLeast"/>
              <w:jc w:val="center"/>
              <w:rPr>
                <w:rFonts w:hint="default" w:ascii="Times New Roman" w:hAnsi="Times New Roman" w:cs="Times New Roman"/>
                <w:szCs w:val="21"/>
                <w:highlight w:val="none"/>
              </w:rPr>
            </w:pPr>
          </w:p>
        </w:tc>
      </w:tr>
      <w:tr w14:paraId="7A36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6BE24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415-4</w:t>
            </w:r>
          </w:p>
        </w:tc>
        <w:tc>
          <w:tcPr>
            <w:tcW w:w="4732" w:type="dxa"/>
            <w:noWrap w:val="0"/>
            <w:vAlign w:val="center"/>
          </w:tcPr>
          <w:p w14:paraId="7A1C2FA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桥面排水</w:t>
            </w:r>
          </w:p>
        </w:tc>
        <w:tc>
          <w:tcPr>
            <w:tcW w:w="749" w:type="dxa"/>
            <w:noWrap w:val="0"/>
            <w:vAlign w:val="center"/>
          </w:tcPr>
          <w:p w14:paraId="1A0827F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6F30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0626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81BC3">
            <w:pPr>
              <w:pageBreakBefore w:val="0"/>
              <w:kinsoku/>
              <w:wordWrap w:val="0"/>
              <w:bidi w:val="0"/>
              <w:spacing w:line="360" w:lineRule="atLeast"/>
              <w:jc w:val="center"/>
              <w:rPr>
                <w:rFonts w:hint="default" w:ascii="Times New Roman" w:hAnsi="Times New Roman" w:cs="Times New Roman"/>
                <w:szCs w:val="21"/>
                <w:highlight w:val="none"/>
              </w:rPr>
            </w:pPr>
          </w:p>
        </w:tc>
      </w:tr>
      <w:tr w14:paraId="1F2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8FD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DCE328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竖、横向集中排水管</w:t>
            </w:r>
          </w:p>
        </w:tc>
        <w:tc>
          <w:tcPr>
            <w:tcW w:w="749" w:type="dxa"/>
            <w:noWrap w:val="0"/>
            <w:vAlign w:val="center"/>
          </w:tcPr>
          <w:p w14:paraId="2F4E5E1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244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039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00DD9C">
            <w:pPr>
              <w:pageBreakBefore w:val="0"/>
              <w:kinsoku/>
              <w:wordWrap w:val="0"/>
              <w:bidi w:val="0"/>
              <w:spacing w:line="360" w:lineRule="atLeast"/>
              <w:jc w:val="center"/>
              <w:rPr>
                <w:rFonts w:hint="default" w:ascii="Times New Roman" w:hAnsi="Times New Roman" w:cs="Times New Roman"/>
                <w:szCs w:val="21"/>
                <w:highlight w:val="none"/>
              </w:rPr>
            </w:pPr>
          </w:p>
        </w:tc>
      </w:tr>
      <w:tr w14:paraId="552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93C2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-a-1</w:t>
            </w:r>
          </w:p>
        </w:tc>
        <w:tc>
          <w:tcPr>
            <w:tcW w:w="4732" w:type="dxa"/>
            <w:noWrap w:val="0"/>
            <w:vAlign w:val="center"/>
          </w:tcPr>
          <w:p w14:paraId="14F1B6F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铸铁管</w:t>
            </w:r>
          </w:p>
        </w:tc>
        <w:tc>
          <w:tcPr>
            <w:tcW w:w="749" w:type="dxa"/>
            <w:noWrap w:val="0"/>
            <w:vAlign w:val="top"/>
          </w:tcPr>
          <w:p w14:paraId="337923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A2524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1E5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6E767">
            <w:pPr>
              <w:pageBreakBefore w:val="0"/>
              <w:kinsoku/>
              <w:wordWrap w:val="0"/>
              <w:bidi w:val="0"/>
              <w:spacing w:line="360" w:lineRule="atLeast"/>
              <w:jc w:val="center"/>
              <w:rPr>
                <w:rFonts w:hint="default" w:ascii="Times New Roman" w:hAnsi="Times New Roman" w:cs="Times New Roman"/>
                <w:szCs w:val="21"/>
                <w:highlight w:val="none"/>
              </w:rPr>
            </w:pPr>
          </w:p>
        </w:tc>
      </w:tr>
      <w:tr w14:paraId="236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AAB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-a-2</w:t>
            </w:r>
          </w:p>
        </w:tc>
        <w:tc>
          <w:tcPr>
            <w:tcW w:w="4732" w:type="dxa"/>
            <w:noWrap w:val="0"/>
            <w:vAlign w:val="center"/>
          </w:tcPr>
          <w:p w14:paraId="39315C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w:t>
            </w:r>
          </w:p>
        </w:tc>
        <w:tc>
          <w:tcPr>
            <w:tcW w:w="749" w:type="dxa"/>
            <w:noWrap w:val="0"/>
            <w:vAlign w:val="center"/>
          </w:tcPr>
          <w:p w14:paraId="0CE6A0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1622A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E37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66736">
            <w:pPr>
              <w:pageBreakBefore w:val="0"/>
              <w:kinsoku/>
              <w:wordWrap w:val="0"/>
              <w:bidi w:val="0"/>
              <w:spacing w:line="360" w:lineRule="atLeast"/>
              <w:jc w:val="center"/>
              <w:rPr>
                <w:rFonts w:hint="default" w:ascii="Times New Roman" w:hAnsi="Times New Roman" w:cs="Times New Roman"/>
                <w:szCs w:val="21"/>
                <w:highlight w:val="none"/>
              </w:rPr>
            </w:pPr>
          </w:p>
        </w:tc>
      </w:tr>
      <w:tr w14:paraId="22F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9730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4C3149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PVC管</w:t>
            </w:r>
          </w:p>
        </w:tc>
        <w:tc>
          <w:tcPr>
            <w:tcW w:w="749" w:type="dxa"/>
            <w:noWrap w:val="0"/>
            <w:vAlign w:val="center"/>
          </w:tcPr>
          <w:p w14:paraId="4FB2A3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63E0C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83B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3ECA92">
            <w:pPr>
              <w:pageBreakBefore w:val="0"/>
              <w:kinsoku/>
              <w:wordWrap w:val="0"/>
              <w:bidi w:val="0"/>
              <w:spacing w:line="360" w:lineRule="atLeast"/>
              <w:jc w:val="center"/>
              <w:rPr>
                <w:rFonts w:hint="default" w:ascii="Times New Roman" w:hAnsi="Times New Roman" w:cs="Times New Roman"/>
                <w:szCs w:val="21"/>
                <w:highlight w:val="none"/>
              </w:rPr>
            </w:pPr>
          </w:p>
        </w:tc>
      </w:tr>
      <w:tr w14:paraId="281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676B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9E032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桥面边部碎石盲沟</w:t>
            </w:r>
          </w:p>
        </w:tc>
        <w:tc>
          <w:tcPr>
            <w:tcW w:w="749" w:type="dxa"/>
            <w:noWrap w:val="0"/>
            <w:vAlign w:val="center"/>
          </w:tcPr>
          <w:p w14:paraId="232F19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9534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A01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C47F3D">
            <w:pPr>
              <w:pageBreakBefore w:val="0"/>
              <w:kinsoku/>
              <w:wordWrap w:val="0"/>
              <w:bidi w:val="0"/>
              <w:spacing w:line="360" w:lineRule="atLeast"/>
              <w:jc w:val="center"/>
              <w:rPr>
                <w:rFonts w:hint="default" w:ascii="Times New Roman" w:hAnsi="Times New Roman" w:cs="Times New Roman"/>
                <w:szCs w:val="21"/>
                <w:highlight w:val="none"/>
              </w:rPr>
            </w:pPr>
          </w:p>
        </w:tc>
      </w:tr>
      <w:tr w14:paraId="3EA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DC2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w:t>
            </w:r>
          </w:p>
        </w:tc>
        <w:tc>
          <w:tcPr>
            <w:tcW w:w="4732" w:type="dxa"/>
            <w:noWrap w:val="0"/>
            <w:vAlign w:val="center"/>
          </w:tcPr>
          <w:p w14:paraId="58D4C3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桥梁支座</w:t>
            </w:r>
          </w:p>
        </w:tc>
        <w:tc>
          <w:tcPr>
            <w:tcW w:w="749" w:type="dxa"/>
            <w:noWrap w:val="0"/>
            <w:vAlign w:val="top"/>
          </w:tcPr>
          <w:p w14:paraId="0728D30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F5E6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FAC4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4F5004">
            <w:pPr>
              <w:pageBreakBefore w:val="0"/>
              <w:kinsoku/>
              <w:wordWrap w:val="0"/>
              <w:bidi w:val="0"/>
              <w:spacing w:line="360" w:lineRule="atLeast"/>
              <w:jc w:val="center"/>
              <w:rPr>
                <w:rFonts w:hint="default" w:ascii="Times New Roman" w:hAnsi="Times New Roman" w:cs="Times New Roman"/>
                <w:szCs w:val="21"/>
                <w:highlight w:val="none"/>
              </w:rPr>
            </w:pPr>
          </w:p>
        </w:tc>
      </w:tr>
      <w:tr w14:paraId="18A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70B2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416-1</w:t>
            </w:r>
          </w:p>
        </w:tc>
        <w:tc>
          <w:tcPr>
            <w:tcW w:w="4732" w:type="dxa"/>
            <w:noWrap w:val="0"/>
            <w:vAlign w:val="center"/>
          </w:tcPr>
          <w:p w14:paraId="1D1B5A3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板式橡胶支座</w:t>
            </w:r>
          </w:p>
        </w:tc>
        <w:tc>
          <w:tcPr>
            <w:tcW w:w="749" w:type="dxa"/>
            <w:noWrap w:val="0"/>
            <w:vAlign w:val="center"/>
          </w:tcPr>
          <w:p w14:paraId="53E8918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dm³</w:t>
            </w:r>
          </w:p>
        </w:tc>
        <w:tc>
          <w:tcPr>
            <w:tcW w:w="837" w:type="dxa"/>
            <w:noWrap w:val="0"/>
            <w:vAlign w:val="center"/>
          </w:tcPr>
          <w:p w14:paraId="235F7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253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9FF43C">
            <w:pPr>
              <w:pageBreakBefore w:val="0"/>
              <w:kinsoku/>
              <w:wordWrap w:val="0"/>
              <w:bidi w:val="0"/>
              <w:spacing w:line="360" w:lineRule="atLeast"/>
              <w:jc w:val="center"/>
              <w:rPr>
                <w:rFonts w:hint="default" w:ascii="Times New Roman" w:hAnsi="Times New Roman" w:cs="Times New Roman"/>
                <w:szCs w:val="21"/>
                <w:highlight w:val="none"/>
              </w:rPr>
            </w:pPr>
          </w:p>
        </w:tc>
      </w:tr>
      <w:tr w14:paraId="787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792F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416-2</w:t>
            </w:r>
          </w:p>
        </w:tc>
        <w:tc>
          <w:tcPr>
            <w:tcW w:w="4732" w:type="dxa"/>
            <w:noWrap w:val="0"/>
            <w:vAlign w:val="center"/>
          </w:tcPr>
          <w:p w14:paraId="7DBDED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盆式支座</w:t>
            </w:r>
          </w:p>
        </w:tc>
        <w:tc>
          <w:tcPr>
            <w:tcW w:w="749" w:type="dxa"/>
            <w:noWrap w:val="0"/>
            <w:vAlign w:val="center"/>
          </w:tcPr>
          <w:p w14:paraId="312346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538B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1845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4AD7B4">
            <w:pPr>
              <w:pageBreakBefore w:val="0"/>
              <w:kinsoku/>
              <w:wordWrap w:val="0"/>
              <w:bidi w:val="0"/>
              <w:spacing w:line="360" w:lineRule="atLeast"/>
              <w:jc w:val="center"/>
              <w:rPr>
                <w:rFonts w:hint="default" w:ascii="Times New Roman" w:hAnsi="Times New Roman" w:cs="Times New Roman"/>
                <w:szCs w:val="21"/>
                <w:highlight w:val="none"/>
              </w:rPr>
            </w:pPr>
          </w:p>
        </w:tc>
      </w:tr>
      <w:tr w14:paraId="70F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EAD8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416-3</w:t>
            </w:r>
          </w:p>
        </w:tc>
        <w:tc>
          <w:tcPr>
            <w:tcW w:w="4732" w:type="dxa"/>
            <w:noWrap w:val="0"/>
            <w:vAlign w:val="center"/>
          </w:tcPr>
          <w:p w14:paraId="595ECE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隔震橡胶支座</w:t>
            </w:r>
          </w:p>
        </w:tc>
        <w:tc>
          <w:tcPr>
            <w:tcW w:w="749" w:type="dxa"/>
            <w:noWrap w:val="0"/>
            <w:vAlign w:val="center"/>
          </w:tcPr>
          <w:p w14:paraId="3890FC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A661D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595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D68692">
            <w:pPr>
              <w:pageBreakBefore w:val="0"/>
              <w:kinsoku/>
              <w:wordWrap w:val="0"/>
              <w:bidi w:val="0"/>
              <w:spacing w:line="360" w:lineRule="atLeast"/>
              <w:jc w:val="center"/>
              <w:rPr>
                <w:rFonts w:hint="default" w:ascii="Times New Roman" w:hAnsi="Times New Roman" w:cs="Times New Roman"/>
                <w:szCs w:val="21"/>
                <w:highlight w:val="none"/>
              </w:rPr>
            </w:pPr>
          </w:p>
        </w:tc>
      </w:tr>
      <w:tr w14:paraId="599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225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416-4</w:t>
            </w:r>
          </w:p>
        </w:tc>
        <w:tc>
          <w:tcPr>
            <w:tcW w:w="4732" w:type="dxa"/>
            <w:noWrap w:val="0"/>
            <w:vAlign w:val="center"/>
          </w:tcPr>
          <w:p w14:paraId="34EBB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球形支座</w:t>
            </w:r>
          </w:p>
        </w:tc>
        <w:tc>
          <w:tcPr>
            <w:tcW w:w="749" w:type="dxa"/>
            <w:noWrap w:val="0"/>
            <w:vAlign w:val="center"/>
          </w:tcPr>
          <w:p w14:paraId="5C8CAE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12D99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814E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E12202">
            <w:pPr>
              <w:pageBreakBefore w:val="0"/>
              <w:kinsoku/>
              <w:wordWrap w:val="0"/>
              <w:bidi w:val="0"/>
              <w:spacing w:line="360" w:lineRule="atLeast"/>
              <w:jc w:val="center"/>
              <w:rPr>
                <w:rFonts w:hint="default" w:ascii="Times New Roman" w:hAnsi="Times New Roman" w:cs="Times New Roman"/>
                <w:szCs w:val="21"/>
                <w:highlight w:val="none"/>
              </w:rPr>
            </w:pPr>
          </w:p>
        </w:tc>
      </w:tr>
      <w:tr w14:paraId="4AF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95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w:t>
            </w:r>
          </w:p>
        </w:tc>
        <w:tc>
          <w:tcPr>
            <w:tcW w:w="4732" w:type="dxa"/>
            <w:noWrap w:val="0"/>
            <w:vAlign w:val="center"/>
          </w:tcPr>
          <w:p w14:paraId="3DB9F6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桥梁接缝和伸缩装置</w:t>
            </w:r>
          </w:p>
        </w:tc>
        <w:tc>
          <w:tcPr>
            <w:tcW w:w="749" w:type="dxa"/>
            <w:noWrap w:val="0"/>
            <w:vAlign w:val="top"/>
          </w:tcPr>
          <w:p w14:paraId="4DADA8C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9C790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E1AD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FBFD36">
            <w:pPr>
              <w:pageBreakBefore w:val="0"/>
              <w:kinsoku/>
              <w:wordWrap w:val="0"/>
              <w:bidi w:val="0"/>
              <w:spacing w:line="360" w:lineRule="atLeast"/>
              <w:jc w:val="center"/>
              <w:rPr>
                <w:rFonts w:hint="default" w:ascii="Times New Roman" w:hAnsi="Times New Roman" w:cs="Times New Roman"/>
                <w:szCs w:val="21"/>
                <w:highlight w:val="none"/>
              </w:rPr>
            </w:pPr>
          </w:p>
        </w:tc>
      </w:tr>
      <w:tr w14:paraId="160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EF71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417-1</w:t>
            </w:r>
          </w:p>
        </w:tc>
        <w:tc>
          <w:tcPr>
            <w:tcW w:w="4732" w:type="dxa"/>
            <w:noWrap w:val="0"/>
            <w:vAlign w:val="center"/>
          </w:tcPr>
          <w:p w14:paraId="08DCAE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橡胶伸缩装置</w:t>
            </w:r>
          </w:p>
        </w:tc>
        <w:tc>
          <w:tcPr>
            <w:tcW w:w="749" w:type="dxa"/>
            <w:noWrap w:val="0"/>
            <w:vAlign w:val="center"/>
          </w:tcPr>
          <w:p w14:paraId="28910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C714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4177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B57615">
            <w:pPr>
              <w:pageBreakBefore w:val="0"/>
              <w:kinsoku/>
              <w:wordWrap w:val="0"/>
              <w:bidi w:val="0"/>
              <w:spacing w:line="360" w:lineRule="atLeast"/>
              <w:jc w:val="center"/>
              <w:rPr>
                <w:rFonts w:hint="default" w:ascii="Times New Roman" w:hAnsi="Times New Roman" w:cs="Times New Roman"/>
                <w:szCs w:val="21"/>
                <w:highlight w:val="none"/>
              </w:rPr>
            </w:pPr>
          </w:p>
        </w:tc>
      </w:tr>
      <w:tr w14:paraId="013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ABAA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417-2</w:t>
            </w:r>
          </w:p>
        </w:tc>
        <w:tc>
          <w:tcPr>
            <w:tcW w:w="4732" w:type="dxa"/>
            <w:noWrap w:val="0"/>
            <w:vAlign w:val="center"/>
          </w:tcPr>
          <w:p w14:paraId="5A3BFC5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模数式伸缩装置</w:t>
            </w:r>
          </w:p>
        </w:tc>
        <w:tc>
          <w:tcPr>
            <w:tcW w:w="749" w:type="dxa"/>
            <w:noWrap w:val="0"/>
            <w:vAlign w:val="center"/>
          </w:tcPr>
          <w:p w14:paraId="2E5A9F8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CA6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61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79165">
            <w:pPr>
              <w:pageBreakBefore w:val="0"/>
              <w:kinsoku/>
              <w:wordWrap w:val="0"/>
              <w:bidi w:val="0"/>
              <w:spacing w:line="360" w:lineRule="atLeast"/>
              <w:jc w:val="center"/>
              <w:rPr>
                <w:rFonts w:hint="default" w:ascii="Times New Roman" w:hAnsi="Times New Roman" w:cs="Times New Roman"/>
                <w:szCs w:val="21"/>
                <w:highlight w:val="none"/>
              </w:rPr>
            </w:pPr>
          </w:p>
        </w:tc>
      </w:tr>
      <w:tr w14:paraId="08F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CD61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417-3</w:t>
            </w:r>
          </w:p>
        </w:tc>
        <w:tc>
          <w:tcPr>
            <w:tcW w:w="4732" w:type="dxa"/>
            <w:noWrap w:val="0"/>
            <w:vAlign w:val="center"/>
          </w:tcPr>
          <w:p w14:paraId="5E3688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梳齿板式伸缩装置</w:t>
            </w:r>
          </w:p>
        </w:tc>
        <w:tc>
          <w:tcPr>
            <w:tcW w:w="749" w:type="dxa"/>
            <w:noWrap w:val="0"/>
            <w:vAlign w:val="center"/>
          </w:tcPr>
          <w:p w14:paraId="3B351C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FE0ED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A95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D7F4F7">
            <w:pPr>
              <w:pageBreakBefore w:val="0"/>
              <w:kinsoku/>
              <w:wordWrap w:val="0"/>
              <w:bidi w:val="0"/>
              <w:spacing w:line="360" w:lineRule="atLeast"/>
              <w:jc w:val="center"/>
              <w:rPr>
                <w:rFonts w:hint="default" w:ascii="Times New Roman" w:hAnsi="Times New Roman" w:cs="Times New Roman"/>
                <w:szCs w:val="21"/>
                <w:highlight w:val="none"/>
              </w:rPr>
            </w:pPr>
          </w:p>
        </w:tc>
      </w:tr>
      <w:tr w14:paraId="399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C575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417-4</w:t>
            </w:r>
          </w:p>
        </w:tc>
        <w:tc>
          <w:tcPr>
            <w:tcW w:w="4732" w:type="dxa"/>
            <w:noWrap w:val="0"/>
            <w:vAlign w:val="center"/>
          </w:tcPr>
          <w:p w14:paraId="506F8A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填充式材料伸缩装置</w:t>
            </w:r>
          </w:p>
        </w:tc>
        <w:tc>
          <w:tcPr>
            <w:tcW w:w="749" w:type="dxa"/>
            <w:noWrap w:val="0"/>
            <w:vAlign w:val="center"/>
          </w:tcPr>
          <w:p w14:paraId="48B117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D7AF9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6061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141765">
            <w:pPr>
              <w:pageBreakBefore w:val="0"/>
              <w:kinsoku/>
              <w:wordWrap w:val="0"/>
              <w:bidi w:val="0"/>
              <w:spacing w:line="360" w:lineRule="atLeast"/>
              <w:jc w:val="center"/>
              <w:rPr>
                <w:rFonts w:hint="default" w:ascii="Times New Roman" w:hAnsi="Times New Roman" w:cs="Times New Roman"/>
                <w:szCs w:val="21"/>
                <w:highlight w:val="none"/>
              </w:rPr>
            </w:pPr>
          </w:p>
        </w:tc>
      </w:tr>
      <w:tr w14:paraId="249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B9A7F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w:t>
            </w:r>
          </w:p>
        </w:tc>
        <w:tc>
          <w:tcPr>
            <w:tcW w:w="4732" w:type="dxa"/>
            <w:noWrap w:val="0"/>
            <w:vAlign w:val="center"/>
          </w:tcPr>
          <w:p w14:paraId="30B9861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圆管涵及倒虹吸管涵</w:t>
            </w:r>
          </w:p>
        </w:tc>
        <w:tc>
          <w:tcPr>
            <w:tcW w:w="749" w:type="dxa"/>
            <w:noWrap w:val="0"/>
            <w:vAlign w:val="top"/>
          </w:tcPr>
          <w:p w14:paraId="7C2AFC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E2A5F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BD21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B9BE1A">
            <w:pPr>
              <w:pageBreakBefore w:val="0"/>
              <w:kinsoku/>
              <w:wordWrap w:val="0"/>
              <w:bidi w:val="0"/>
              <w:spacing w:line="360" w:lineRule="atLeast"/>
              <w:jc w:val="center"/>
              <w:rPr>
                <w:rFonts w:hint="default" w:ascii="Times New Roman" w:hAnsi="Times New Roman" w:cs="Times New Roman"/>
                <w:szCs w:val="21"/>
                <w:highlight w:val="none"/>
              </w:rPr>
            </w:pPr>
          </w:p>
        </w:tc>
      </w:tr>
      <w:tr w14:paraId="1C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BA59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419-1</w:t>
            </w:r>
          </w:p>
        </w:tc>
        <w:tc>
          <w:tcPr>
            <w:tcW w:w="4732" w:type="dxa"/>
            <w:noWrap w:val="0"/>
            <w:vAlign w:val="center"/>
          </w:tcPr>
          <w:p w14:paraId="070562B4">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单孔钢筋混凝土圆管涵</w:t>
            </w:r>
          </w:p>
        </w:tc>
        <w:tc>
          <w:tcPr>
            <w:tcW w:w="749" w:type="dxa"/>
            <w:noWrap w:val="0"/>
            <w:vAlign w:val="center"/>
          </w:tcPr>
          <w:p w14:paraId="218015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58416B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C21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CAA43">
            <w:pPr>
              <w:pageBreakBefore w:val="0"/>
              <w:kinsoku/>
              <w:wordWrap w:val="0"/>
              <w:bidi w:val="0"/>
              <w:spacing w:line="360" w:lineRule="atLeast"/>
              <w:jc w:val="center"/>
              <w:rPr>
                <w:rFonts w:hint="default" w:ascii="Times New Roman" w:hAnsi="Times New Roman" w:cs="Times New Roman"/>
                <w:szCs w:val="21"/>
                <w:highlight w:val="none"/>
              </w:rPr>
            </w:pPr>
          </w:p>
        </w:tc>
      </w:tr>
      <w:tr w14:paraId="20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4D07D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419-2</w:t>
            </w:r>
          </w:p>
        </w:tc>
        <w:tc>
          <w:tcPr>
            <w:tcW w:w="4732" w:type="dxa"/>
            <w:noWrap w:val="0"/>
            <w:vAlign w:val="center"/>
          </w:tcPr>
          <w:p w14:paraId="0F58217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双孔钢筋混凝土圆管涵</w:t>
            </w:r>
          </w:p>
        </w:tc>
        <w:tc>
          <w:tcPr>
            <w:tcW w:w="749" w:type="dxa"/>
            <w:noWrap w:val="0"/>
            <w:vAlign w:val="center"/>
          </w:tcPr>
          <w:p w14:paraId="12206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43287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0DF9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944FC5">
            <w:pPr>
              <w:pageBreakBefore w:val="0"/>
              <w:kinsoku/>
              <w:wordWrap w:val="0"/>
              <w:bidi w:val="0"/>
              <w:spacing w:line="360" w:lineRule="atLeast"/>
              <w:jc w:val="center"/>
              <w:rPr>
                <w:rFonts w:hint="default" w:ascii="Times New Roman" w:hAnsi="Times New Roman" w:cs="Times New Roman"/>
                <w:szCs w:val="21"/>
                <w:highlight w:val="none"/>
              </w:rPr>
            </w:pPr>
          </w:p>
        </w:tc>
      </w:tr>
      <w:tr w14:paraId="729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68B0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419-3</w:t>
            </w:r>
          </w:p>
        </w:tc>
        <w:tc>
          <w:tcPr>
            <w:tcW w:w="4732" w:type="dxa"/>
            <w:noWrap w:val="0"/>
            <w:vAlign w:val="center"/>
          </w:tcPr>
          <w:p w14:paraId="0683024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钢筋混凝土圆管倒虹吸管涵</w:t>
            </w:r>
          </w:p>
        </w:tc>
        <w:tc>
          <w:tcPr>
            <w:tcW w:w="749" w:type="dxa"/>
            <w:noWrap w:val="0"/>
            <w:vAlign w:val="center"/>
          </w:tcPr>
          <w:p w14:paraId="241D8FE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7E73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A0D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74E87E">
            <w:pPr>
              <w:pageBreakBefore w:val="0"/>
              <w:kinsoku/>
              <w:wordWrap w:val="0"/>
              <w:bidi w:val="0"/>
              <w:spacing w:line="360" w:lineRule="atLeast"/>
              <w:jc w:val="center"/>
              <w:rPr>
                <w:rFonts w:hint="default" w:ascii="Times New Roman" w:hAnsi="Times New Roman" w:cs="Times New Roman"/>
                <w:szCs w:val="21"/>
                <w:highlight w:val="none"/>
              </w:rPr>
            </w:pPr>
          </w:p>
        </w:tc>
      </w:tr>
      <w:tr w14:paraId="6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291E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w:t>
            </w:r>
          </w:p>
        </w:tc>
        <w:tc>
          <w:tcPr>
            <w:tcW w:w="4732" w:type="dxa"/>
            <w:noWrap w:val="0"/>
            <w:vAlign w:val="center"/>
          </w:tcPr>
          <w:p w14:paraId="3607CF1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盖板涵、箱涵</w:t>
            </w:r>
          </w:p>
        </w:tc>
        <w:tc>
          <w:tcPr>
            <w:tcW w:w="749" w:type="dxa"/>
            <w:noWrap w:val="0"/>
            <w:vAlign w:val="center"/>
          </w:tcPr>
          <w:p w14:paraId="25945EBB">
            <w:pPr>
              <w:pageBreakBefore w:val="0"/>
              <w:kinsoku/>
              <w:wordWrap w:val="0"/>
              <w:autoSpaceDE w:val="0"/>
              <w:autoSpaceDN w:val="0"/>
              <w:bidi w:val="0"/>
              <w:spacing w:line="360" w:lineRule="atLeast"/>
              <w:ind w:firstLine="30"/>
              <w:jc w:val="center"/>
              <w:textAlignment w:val="bottom"/>
              <w:rPr>
                <w:rFonts w:hint="default" w:ascii="Times New Roman" w:hAnsi="Times New Roman" w:cs="Times New Roman"/>
                <w:szCs w:val="21"/>
                <w:highlight w:val="none"/>
              </w:rPr>
            </w:pPr>
          </w:p>
        </w:tc>
        <w:tc>
          <w:tcPr>
            <w:tcW w:w="837" w:type="dxa"/>
            <w:noWrap w:val="0"/>
            <w:vAlign w:val="center"/>
          </w:tcPr>
          <w:p w14:paraId="433C0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646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BF7FCF">
            <w:pPr>
              <w:pageBreakBefore w:val="0"/>
              <w:kinsoku/>
              <w:wordWrap w:val="0"/>
              <w:bidi w:val="0"/>
              <w:spacing w:line="360" w:lineRule="atLeast"/>
              <w:jc w:val="center"/>
              <w:rPr>
                <w:rFonts w:hint="default" w:ascii="Times New Roman" w:hAnsi="Times New Roman" w:cs="Times New Roman"/>
                <w:szCs w:val="21"/>
                <w:highlight w:val="none"/>
              </w:rPr>
            </w:pPr>
          </w:p>
        </w:tc>
      </w:tr>
      <w:tr w14:paraId="663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5BB51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420-1</w:t>
            </w:r>
          </w:p>
        </w:tc>
        <w:tc>
          <w:tcPr>
            <w:tcW w:w="4732" w:type="dxa"/>
            <w:noWrap w:val="0"/>
            <w:vAlign w:val="center"/>
          </w:tcPr>
          <w:p w14:paraId="7A55F04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钢筋混凝土盖板涵</w:t>
            </w:r>
          </w:p>
        </w:tc>
        <w:tc>
          <w:tcPr>
            <w:tcW w:w="749" w:type="dxa"/>
            <w:noWrap w:val="0"/>
            <w:vAlign w:val="center"/>
          </w:tcPr>
          <w:p w14:paraId="410E7B2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62B52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D91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754AF">
            <w:pPr>
              <w:pageBreakBefore w:val="0"/>
              <w:kinsoku/>
              <w:wordWrap w:val="0"/>
              <w:bidi w:val="0"/>
              <w:spacing w:line="360" w:lineRule="atLeast"/>
              <w:jc w:val="center"/>
              <w:rPr>
                <w:rFonts w:hint="default" w:ascii="Times New Roman" w:hAnsi="Times New Roman" w:cs="Times New Roman"/>
                <w:szCs w:val="21"/>
                <w:highlight w:val="none"/>
              </w:rPr>
            </w:pPr>
          </w:p>
        </w:tc>
      </w:tr>
      <w:tr w14:paraId="777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0FC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420-2</w:t>
            </w:r>
          </w:p>
        </w:tc>
        <w:tc>
          <w:tcPr>
            <w:tcW w:w="4732" w:type="dxa"/>
            <w:noWrap w:val="0"/>
            <w:vAlign w:val="center"/>
          </w:tcPr>
          <w:p w14:paraId="0547476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钢筋混凝土箱涵</w:t>
            </w:r>
          </w:p>
        </w:tc>
        <w:tc>
          <w:tcPr>
            <w:tcW w:w="749" w:type="dxa"/>
            <w:noWrap w:val="0"/>
            <w:vAlign w:val="center"/>
          </w:tcPr>
          <w:p w14:paraId="2C925AD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E49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AEEF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A5445">
            <w:pPr>
              <w:pageBreakBefore w:val="0"/>
              <w:kinsoku/>
              <w:wordWrap w:val="0"/>
              <w:bidi w:val="0"/>
              <w:spacing w:line="360" w:lineRule="atLeast"/>
              <w:jc w:val="center"/>
              <w:rPr>
                <w:rFonts w:hint="default" w:ascii="Times New Roman" w:hAnsi="Times New Roman" w:cs="Times New Roman"/>
                <w:szCs w:val="21"/>
                <w:highlight w:val="none"/>
              </w:rPr>
            </w:pPr>
          </w:p>
        </w:tc>
      </w:tr>
      <w:tr w14:paraId="0344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9DD67D">
            <w:pPr>
              <w:pageBreakBefore w:val="0"/>
              <w:widowControl/>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Cs/>
                <w:kern w:val="0"/>
                <w:szCs w:val="21"/>
                <w:highlight w:val="none"/>
              </w:rPr>
              <w:t>420-3</w:t>
            </w:r>
          </w:p>
        </w:tc>
        <w:tc>
          <w:tcPr>
            <w:tcW w:w="4732" w:type="dxa"/>
            <w:noWrap w:val="0"/>
            <w:vAlign w:val="center"/>
          </w:tcPr>
          <w:p w14:paraId="03CD2F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钢筋混凝土盖板通道涵</w:t>
            </w:r>
          </w:p>
        </w:tc>
        <w:tc>
          <w:tcPr>
            <w:tcW w:w="749" w:type="dxa"/>
            <w:noWrap w:val="0"/>
            <w:vAlign w:val="center"/>
          </w:tcPr>
          <w:p w14:paraId="0BDCDB4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DF0D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D692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135080">
            <w:pPr>
              <w:pageBreakBefore w:val="0"/>
              <w:kinsoku/>
              <w:wordWrap w:val="0"/>
              <w:bidi w:val="0"/>
              <w:spacing w:line="360" w:lineRule="atLeast"/>
              <w:jc w:val="center"/>
              <w:rPr>
                <w:rFonts w:hint="default" w:ascii="Times New Roman" w:hAnsi="Times New Roman" w:cs="Times New Roman"/>
                <w:szCs w:val="21"/>
                <w:highlight w:val="none"/>
              </w:rPr>
            </w:pPr>
          </w:p>
        </w:tc>
      </w:tr>
      <w:tr w14:paraId="7F5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8B8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420-4</w:t>
            </w:r>
          </w:p>
        </w:tc>
        <w:tc>
          <w:tcPr>
            <w:tcW w:w="4732" w:type="dxa"/>
            <w:noWrap w:val="0"/>
            <w:vAlign w:val="center"/>
          </w:tcPr>
          <w:p w14:paraId="106CA1F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钢筋混凝土箱形通道涵</w:t>
            </w:r>
          </w:p>
        </w:tc>
        <w:tc>
          <w:tcPr>
            <w:tcW w:w="749" w:type="dxa"/>
            <w:noWrap w:val="0"/>
            <w:vAlign w:val="center"/>
          </w:tcPr>
          <w:p w14:paraId="5A00B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FAFD3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8EBD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B7B2D">
            <w:pPr>
              <w:pageBreakBefore w:val="0"/>
              <w:kinsoku/>
              <w:wordWrap w:val="0"/>
              <w:bidi w:val="0"/>
              <w:spacing w:line="360" w:lineRule="atLeast"/>
              <w:jc w:val="center"/>
              <w:rPr>
                <w:rFonts w:hint="default" w:ascii="Times New Roman" w:hAnsi="Times New Roman" w:cs="Times New Roman"/>
                <w:szCs w:val="21"/>
                <w:highlight w:val="none"/>
              </w:rPr>
            </w:pPr>
          </w:p>
        </w:tc>
      </w:tr>
      <w:tr w14:paraId="1AF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A7E65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w:t>
            </w:r>
          </w:p>
        </w:tc>
        <w:tc>
          <w:tcPr>
            <w:tcW w:w="4732" w:type="dxa"/>
            <w:noWrap w:val="0"/>
            <w:vAlign w:val="center"/>
          </w:tcPr>
          <w:p w14:paraId="7962A04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拱涵</w:t>
            </w:r>
          </w:p>
        </w:tc>
        <w:tc>
          <w:tcPr>
            <w:tcW w:w="749" w:type="dxa"/>
            <w:noWrap w:val="0"/>
            <w:vAlign w:val="top"/>
          </w:tcPr>
          <w:p w14:paraId="65D7D930">
            <w:pPr>
              <w:pageBreakBefore w:val="0"/>
              <w:kinsoku/>
              <w:wordWrap w:val="0"/>
              <w:autoSpaceDE w:val="0"/>
              <w:autoSpaceDN w:val="0"/>
              <w:bidi w:val="0"/>
              <w:spacing w:line="360" w:lineRule="atLeast"/>
              <w:ind w:right="57" w:firstLine="23"/>
              <w:jc w:val="center"/>
              <w:textAlignment w:val="bottom"/>
              <w:rPr>
                <w:rFonts w:hint="default" w:ascii="Times New Roman" w:hAnsi="Times New Roman" w:cs="Times New Roman"/>
                <w:szCs w:val="21"/>
                <w:highlight w:val="none"/>
              </w:rPr>
            </w:pPr>
          </w:p>
        </w:tc>
        <w:tc>
          <w:tcPr>
            <w:tcW w:w="837" w:type="dxa"/>
            <w:noWrap w:val="0"/>
            <w:vAlign w:val="center"/>
          </w:tcPr>
          <w:p w14:paraId="75F569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A297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AFAF49">
            <w:pPr>
              <w:pageBreakBefore w:val="0"/>
              <w:kinsoku/>
              <w:wordWrap w:val="0"/>
              <w:bidi w:val="0"/>
              <w:spacing w:line="360" w:lineRule="atLeast"/>
              <w:jc w:val="center"/>
              <w:rPr>
                <w:rFonts w:hint="default" w:ascii="Times New Roman" w:hAnsi="Times New Roman" w:cs="Times New Roman"/>
                <w:szCs w:val="21"/>
                <w:highlight w:val="none"/>
              </w:rPr>
            </w:pPr>
          </w:p>
        </w:tc>
      </w:tr>
      <w:tr w14:paraId="148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781A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421-1</w:t>
            </w:r>
          </w:p>
        </w:tc>
        <w:tc>
          <w:tcPr>
            <w:tcW w:w="4732" w:type="dxa"/>
            <w:noWrap w:val="0"/>
            <w:vAlign w:val="center"/>
          </w:tcPr>
          <w:p w14:paraId="4B913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拱涵</w:t>
            </w:r>
          </w:p>
        </w:tc>
        <w:tc>
          <w:tcPr>
            <w:tcW w:w="749" w:type="dxa"/>
            <w:noWrap w:val="0"/>
            <w:vAlign w:val="center"/>
          </w:tcPr>
          <w:p w14:paraId="6952394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9B02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BBB5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FCA46">
            <w:pPr>
              <w:pageBreakBefore w:val="0"/>
              <w:kinsoku/>
              <w:wordWrap w:val="0"/>
              <w:bidi w:val="0"/>
              <w:spacing w:line="360" w:lineRule="atLeast"/>
              <w:jc w:val="center"/>
              <w:rPr>
                <w:rFonts w:hint="default" w:ascii="Times New Roman" w:hAnsi="Times New Roman" w:cs="Times New Roman"/>
                <w:szCs w:val="21"/>
                <w:highlight w:val="none"/>
              </w:rPr>
            </w:pPr>
          </w:p>
        </w:tc>
      </w:tr>
      <w:tr w14:paraId="721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98E8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7092A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石拱涵</w:t>
            </w:r>
          </w:p>
        </w:tc>
        <w:tc>
          <w:tcPr>
            <w:tcW w:w="749" w:type="dxa"/>
            <w:noWrap w:val="0"/>
            <w:vAlign w:val="center"/>
          </w:tcPr>
          <w:p w14:paraId="15C9385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453D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CCA0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D9DA82">
            <w:pPr>
              <w:pageBreakBefore w:val="0"/>
              <w:kinsoku/>
              <w:wordWrap w:val="0"/>
              <w:bidi w:val="0"/>
              <w:spacing w:line="360" w:lineRule="atLeast"/>
              <w:jc w:val="center"/>
              <w:rPr>
                <w:rFonts w:hint="default" w:ascii="Times New Roman" w:hAnsi="Times New Roman" w:cs="Times New Roman"/>
                <w:szCs w:val="21"/>
                <w:highlight w:val="none"/>
              </w:rPr>
            </w:pPr>
          </w:p>
        </w:tc>
      </w:tr>
      <w:tr w14:paraId="41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A04E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19B4D0E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混凝土拱涵</w:t>
            </w:r>
          </w:p>
        </w:tc>
        <w:tc>
          <w:tcPr>
            <w:tcW w:w="749" w:type="dxa"/>
            <w:noWrap w:val="0"/>
            <w:vAlign w:val="center"/>
          </w:tcPr>
          <w:p w14:paraId="6A04FB1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04D59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D681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3019AA">
            <w:pPr>
              <w:pageBreakBefore w:val="0"/>
              <w:kinsoku/>
              <w:wordWrap w:val="0"/>
              <w:bidi w:val="0"/>
              <w:spacing w:line="360" w:lineRule="atLeast"/>
              <w:jc w:val="center"/>
              <w:rPr>
                <w:rFonts w:hint="default" w:ascii="Times New Roman" w:hAnsi="Times New Roman" w:cs="Times New Roman"/>
                <w:szCs w:val="21"/>
                <w:highlight w:val="none"/>
              </w:rPr>
            </w:pPr>
          </w:p>
        </w:tc>
      </w:tr>
      <w:tr w14:paraId="6FE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F40E1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421-2</w:t>
            </w:r>
          </w:p>
        </w:tc>
        <w:tc>
          <w:tcPr>
            <w:tcW w:w="4732" w:type="dxa"/>
            <w:noWrap w:val="0"/>
            <w:vAlign w:val="center"/>
          </w:tcPr>
          <w:p w14:paraId="634DD81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拱形通道涵</w:t>
            </w:r>
          </w:p>
        </w:tc>
        <w:tc>
          <w:tcPr>
            <w:tcW w:w="749" w:type="dxa"/>
            <w:noWrap w:val="0"/>
            <w:vAlign w:val="center"/>
          </w:tcPr>
          <w:p w14:paraId="75E014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148C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46D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6D2B1">
            <w:pPr>
              <w:pageBreakBefore w:val="0"/>
              <w:kinsoku/>
              <w:wordWrap w:val="0"/>
              <w:bidi w:val="0"/>
              <w:spacing w:line="360" w:lineRule="atLeast"/>
              <w:jc w:val="center"/>
              <w:rPr>
                <w:rFonts w:hint="default" w:ascii="Times New Roman" w:hAnsi="Times New Roman" w:cs="Times New Roman"/>
                <w:szCs w:val="21"/>
                <w:highlight w:val="none"/>
              </w:rPr>
            </w:pPr>
          </w:p>
        </w:tc>
      </w:tr>
      <w:tr w14:paraId="6B3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6F4C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647BC02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石拱通道涵</w:t>
            </w:r>
          </w:p>
        </w:tc>
        <w:tc>
          <w:tcPr>
            <w:tcW w:w="749" w:type="dxa"/>
            <w:noWrap w:val="0"/>
            <w:vAlign w:val="center"/>
          </w:tcPr>
          <w:p w14:paraId="3EA5D93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FD817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470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408D">
            <w:pPr>
              <w:pageBreakBefore w:val="0"/>
              <w:kinsoku/>
              <w:wordWrap w:val="0"/>
              <w:bidi w:val="0"/>
              <w:spacing w:line="360" w:lineRule="atLeast"/>
              <w:jc w:val="center"/>
              <w:rPr>
                <w:rFonts w:hint="default" w:ascii="Times New Roman" w:hAnsi="Times New Roman" w:cs="Times New Roman"/>
                <w:szCs w:val="21"/>
                <w:highlight w:val="none"/>
              </w:rPr>
            </w:pPr>
          </w:p>
        </w:tc>
      </w:tr>
      <w:tr w14:paraId="25A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71842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53873D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混凝土拱</w:t>
            </w:r>
            <w:r>
              <w:rPr>
                <w:rFonts w:hint="default" w:ascii="Times New Roman" w:hAnsi="Times New Roman" w:cs="Times New Roman"/>
                <w:szCs w:val="21"/>
                <w:highlight w:val="none"/>
              </w:rPr>
              <w:t>通道涵</w:t>
            </w:r>
          </w:p>
        </w:tc>
        <w:tc>
          <w:tcPr>
            <w:tcW w:w="749" w:type="dxa"/>
            <w:noWrap w:val="0"/>
            <w:vAlign w:val="center"/>
          </w:tcPr>
          <w:p w14:paraId="7D603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77D4F4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29D3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EAD997">
            <w:pPr>
              <w:pageBreakBefore w:val="0"/>
              <w:kinsoku/>
              <w:wordWrap w:val="0"/>
              <w:bidi w:val="0"/>
              <w:spacing w:line="360" w:lineRule="atLeast"/>
              <w:jc w:val="center"/>
              <w:rPr>
                <w:rFonts w:hint="default" w:ascii="Times New Roman" w:hAnsi="Times New Roman" w:cs="Times New Roman"/>
                <w:szCs w:val="21"/>
                <w:highlight w:val="none"/>
              </w:rPr>
            </w:pPr>
          </w:p>
        </w:tc>
      </w:tr>
      <w:tr w14:paraId="632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5F7BC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445F5E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3BC8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B676E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B561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E2E97">
            <w:pPr>
              <w:pageBreakBefore w:val="0"/>
              <w:kinsoku/>
              <w:wordWrap w:val="0"/>
              <w:bidi w:val="0"/>
              <w:spacing w:line="360" w:lineRule="atLeast"/>
              <w:jc w:val="center"/>
              <w:rPr>
                <w:rFonts w:hint="default" w:ascii="Times New Roman" w:hAnsi="Times New Roman" w:cs="Times New Roman"/>
                <w:szCs w:val="21"/>
                <w:highlight w:val="none"/>
              </w:rPr>
            </w:pPr>
          </w:p>
        </w:tc>
      </w:tr>
      <w:tr w14:paraId="2D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18B64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6B25E36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5A96CD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8A6D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9DB5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C70FAF">
            <w:pPr>
              <w:pageBreakBefore w:val="0"/>
              <w:kinsoku/>
              <w:wordWrap w:val="0"/>
              <w:bidi w:val="0"/>
              <w:spacing w:line="360" w:lineRule="atLeast"/>
              <w:jc w:val="center"/>
              <w:rPr>
                <w:rFonts w:hint="default" w:ascii="Times New Roman" w:hAnsi="Times New Roman" w:cs="Times New Roman"/>
                <w:szCs w:val="21"/>
                <w:highlight w:val="none"/>
              </w:rPr>
            </w:pPr>
          </w:p>
        </w:tc>
      </w:tr>
      <w:tr w14:paraId="41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CE68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C1461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0C20DC5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ACF3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BE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E007B5">
            <w:pPr>
              <w:pageBreakBefore w:val="0"/>
              <w:kinsoku/>
              <w:wordWrap w:val="0"/>
              <w:bidi w:val="0"/>
              <w:spacing w:line="360" w:lineRule="atLeast"/>
              <w:jc w:val="center"/>
              <w:rPr>
                <w:rFonts w:hint="default" w:ascii="Times New Roman" w:hAnsi="Times New Roman" w:cs="Times New Roman"/>
                <w:szCs w:val="21"/>
                <w:highlight w:val="none"/>
              </w:rPr>
            </w:pPr>
          </w:p>
        </w:tc>
      </w:tr>
      <w:tr w14:paraId="511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B683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61B2C5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61B4AD2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4BE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17C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762DD4">
            <w:pPr>
              <w:pageBreakBefore w:val="0"/>
              <w:kinsoku/>
              <w:wordWrap w:val="0"/>
              <w:bidi w:val="0"/>
              <w:spacing w:line="360" w:lineRule="atLeast"/>
              <w:jc w:val="center"/>
              <w:rPr>
                <w:rFonts w:hint="default" w:ascii="Times New Roman" w:hAnsi="Times New Roman" w:cs="Times New Roman"/>
                <w:szCs w:val="21"/>
                <w:highlight w:val="none"/>
              </w:rPr>
            </w:pPr>
          </w:p>
        </w:tc>
      </w:tr>
      <w:tr w14:paraId="2D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4076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354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6BF58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4043E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1437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294FD3">
            <w:pPr>
              <w:pageBreakBefore w:val="0"/>
              <w:kinsoku/>
              <w:wordWrap w:val="0"/>
              <w:bidi w:val="0"/>
              <w:spacing w:line="360" w:lineRule="atLeast"/>
              <w:jc w:val="center"/>
              <w:rPr>
                <w:rFonts w:hint="default" w:ascii="Times New Roman" w:hAnsi="Times New Roman" w:cs="Times New Roman"/>
                <w:szCs w:val="21"/>
                <w:highlight w:val="none"/>
              </w:rPr>
            </w:pPr>
          </w:p>
        </w:tc>
      </w:tr>
      <w:tr w14:paraId="240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C411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A38E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D7F217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FA63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C3A0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416D24">
            <w:pPr>
              <w:pageBreakBefore w:val="0"/>
              <w:kinsoku/>
              <w:wordWrap w:val="0"/>
              <w:bidi w:val="0"/>
              <w:spacing w:line="360" w:lineRule="atLeast"/>
              <w:jc w:val="center"/>
              <w:rPr>
                <w:rFonts w:hint="default" w:ascii="Times New Roman" w:hAnsi="Times New Roman" w:cs="Times New Roman"/>
                <w:szCs w:val="21"/>
                <w:highlight w:val="none"/>
              </w:rPr>
            </w:pPr>
          </w:p>
        </w:tc>
      </w:tr>
      <w:tr w14:paraId="518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0C193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6889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40E4E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E731A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68C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A76C98">
            <w:pPr>
              <w:pageBreakBefore w:val="0"/>
              <w:kinsoku/>
              <w:wordWrap w:val="0"/>
              <w:bidi w:val="0"/>
              <w:spacing w:line="360" w:lineRule="atLeast"/>
              <w:jc w:val="center"/>
              <w:rPr>
                <w:rFonts w:hint="default" w:ascii="Times New Roman" w:hAnsi="Times New Roman" w:cs="Times New Roman"/>
                <w:szCs w:val="21"/>
                <w:highlight w:val="none"/>
              </w:rPr>
            </w:pPr>
          </w:p>
        </w:tc>
      </w:tr>
      <w:tr w14:paraId="243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2FF97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D50DE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6951D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F32EC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7FA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0A42FD">
            <w:pPr>
              <w:pageBreakBefore w:val="0"/>
              <w:kinsoku/>
              <w:wordWrap w:val="0"/>
              <w:bidi w:val="0"/>
              <w:spacing w:line="360" w:lineRule="atLeast"/>
              <w:jc w:val="center"/>
              <w:rPr>
                <w:rFonts w:hint="default" w:ascii="Times New Roman" w:hAnsi="Times New Roman" w:cs="Times New Roman"/>
                <w:szCs w:val="21"/>
                <w:highlight w:val="none"/>
              </w:rPr>
            </w:pPr>
          </w:p>
        </w:tc>
      </w:tr>
      <w:tr w14:paraId="4E9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31E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0770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6453C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1F5CB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7601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5D05F">
            <w:pPr>
              <w:pageBreakBefore w:val="0"/>
              <w:kinsoku/>
              <w:wordWrap w:val="0"/>
              <w:bidi w:val="0"/>
              <w:spacing w:line="360" w:lineRule="atLeast"/>
              <w:jc w:val="center"/>
              <w:rPr>
                <w:rFonts w:hint="default" w:ascii="Times New Roman" w:hAnsi="Times New Roman" w:cs="Times New Roman"/>
                <w:szCs w:val="21"/>
                <w:highlight w:val="none"/>
              </w:rPr>
            </w:pPr>
          </w:p>
        </w:tc>
      </w:tr>
      <w:tr w14:paraId="623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88E25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02AFB95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13109E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9E5B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C5E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485590">
            <w:pPr>
              <w:pageBreakBefore w:val="0"/>
              <w:kinsoku/>
              <w:wordWrap w:val="0"/>
              <w:bidi w:val="0"/>
              <w:spacing w:line="360" w:lineRule="atLeast"/>
              <w:jc w:val="center"/>
              <w:rPr>
                <w:rFonts w:hint="default" w:ascii="Times New Roman" w:hAnsi="Times New Roman" w:cs="Times New Roman"/>
                <w:szCs w:val="21"/>
                <w:highlight w:val="none"/>
              </w:rPr>
            </w:pPr>
          </w:p>
        </w:tc>
      </w:tr>
      <w:tr w14:paraId="6FA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65FE6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47C7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E275B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DA099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091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3366B2">
            <w:pPr>
              <w:pageBreakBefore w:val="0"/>
              <w:kinsoku/>
              <w:wordWrap w:val="0"/>
              <w:bidi w:val="0"/>
              <w:spacing w:line="360" w:lineRule="atLeast"/>
              <w:jc w:val="center"/>
              <w:rPr>
                <w:rFonts w:hint="default" w:ascii="Times New Roman" w:hAnsi="Times New Roman" w:cs="Times New Roman"/>
                <w:szCs w:val="21"/>
                <w:highlight w:val="none"/>
              </w:rPr>
            </w:pPr>
          </w:p>
        </w:tc>
      </w:tr>
      <w:tr w14:paraId="42F8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675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AD7B3D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C0E71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72F5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B39D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F76B28">
            <w:pPr>
              <w:pageBreakBefore w:val="0"/>
              <w:kinsoku/>
              <w:wordWrap w:val="0"/>
              <w:bidi w:val="0"/>
              <w:spacing w:line="360" w:lineRule="atLeast"/>
              <w:jc w:val="center"/>
              <w:rPr>
                <w:rFonts w:hint="default" w:ascii="Times New Roman" w:hAnsi="Times New Roman" w:cs="Times New Roman"/>
                <w:szCs w:val="21"/>
                <w:highlight w:val="none"/>
              </w:rPr>
            </w:pPr>
          </w:p>
        </w:tc>
      </w:tr>
      <w:tr w14:paraId="7D69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14D52F2">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清单第400章合计  人民币</w:t>
            </w:r>
            <w:r>
              <w:rPr>
                <w:rFonts w:hint="default" w:ascii="Times New Roman" w:hAnsi="Times New Roman" w:cs="Times New Roman"/>
                <w:bCs/>
                <w:kern w:val="0"/>
                <w:szCs w:val="21"/>
                <w:highlight w:val="none"/>
                <w:u w:val="single"/>
              </w:rPr>
              <w:t xml:space="preserve">                    </w:t>
            </w:r>
          </w:p>
        </w:tc>
      </w:tr>
    </w:tbl>
    <w:p w14:paraId="512EFA48">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B961C1">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300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D8151F1">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00A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513A50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0AF856C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6ABC78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3320CC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4FD6C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1E76BF6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21F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41034BB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999A1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洞口与明洞工程</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B038D7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7FE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E81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C73D5FE">
            <w:pPr>
              <w:pageBreakBefore w:val="0"/>
              <w:kinsoku/>
              <w:wordWrap w:val="0"/>
              <w:bidi w:val="0"/>
              <w:spacing w:line="360" w:lineRule="atLeast"/>
              <w:jc w:val="center"/>
              <w:rPr>
                <w:rFonts w:hint="default" w:ascii="Times New Roman" w:hAnsi="Times New Roman" w:cs="Times New Roman"/>
                <w:szCs w:val="21"/>
                <w:highlight w:val="none"/>
              </w:rPr>
            </w:pPr>
          </w:p>
        </w:tc>
      </w:tr>
      <w:tr w14:paraId="034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59651E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502-1</w:t>
            </w:r>
          </w:p>
        </w:tc>
        <w:tc>
          <w:tcPr>
            <w:tcW w:w="4644" w:type="dxa"/>
            <w:tcBorders>
              <w:top w:val="single" w:color="auto" w:sz="4" w:space="0"/>
              <w:left w:val="single" w:color="auto" w:sz="4" w:space="0"/>
              <w:bottom w:val="single" w:color="auto" w:sz="4" w:space="0"/>
              <w:right w:val="single" w:color="auto" w:sz="4" w:space="0"/>
            </w:tcBorders>
            <w:noWrap w:val="0"/>
            <w:vAlign w:val="top"/>
          </w:tcPr>
          <w:p w14:paraId="21432B6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洞口、明洞开挖</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1A6506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87E7E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7789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1ADEB21B">
            <w:pPr>
              <w:pageBreakBefore w:val="0"/>
              <w:kinsoku/>
              <w:wordWrap w:val="0"/>
              <w:bidi w:val="0"/>
              <w:spacing w:line="360" w:lineRule="atLeast"/>
              <w:jc w:val="center"/>
              <w:rPr>
                <w:rFonts w:hint="default" w:ascii="Times New Roman" w:hAnsi="Times New Roman" w:cs="Times New Roman"/>
                <w:szCs w:val="21"/>
                <w:highlight w:val="none"/>
              </w:rPr>
            </w:pPr>
          </w:p>
        </w:tc>
      </w:tr>
      <w:tr w14:paraId="0F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5C9913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tcBorders>
              <w:top w:val="single" w:color="auto" w:sz="4" w:space="0"/>
              <w:left w:val="single" w:color="auto" w:sz="4" w:space="0"/>
              <w:right w:val="single" w:color="auto" w:sz="4" w:space="0"/>
            </w:tcBorders>
            <w:noWrap w:val="0"/>
            <w:vAlign w:val="top"/>
          </w:tcPr>
          <w:p w14:paraId="425F533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土方</w:t>
            </w:r>
          </w:p>
        </w:tc>
        <w:tc>
          <w:tcPr>
            <w:tcW w:w="837" w:type="dxa"/>
            <w:tcBorders>
              <w:top w:val="single" w:color="auto" w:sz="4" w:space="0"/>
              <w:left w:val="single" w:color="auto" w:sz="4" w:space="0"/>
              <w:right w:val="single" w:color="auto" w:sz="4" w:space="0"/>
            </w:tcBorders>
            <w:noWrap w:val="0"/>
            <w:vAlign w:val="center"/>
          </w:tcPr>
          <w:p w14:paraId="138A54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tcBorders>
              <w:top w:val="single" w:color="auto" w:sz="4" w:space="0"/>
              <w:left w:val="single" w:color="auto" w:sz="4" w:space="0"/>
              <w:right w:val="single" w:color="auto" w:sz="4" w:space="0"/>
            </w:tcBorders>
            <w:noWrap w:val="0"/>
            <w:vAlign w:val="center"/>
          </w:tcPr>
          <w:p w14:paraId="7D1EE0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55EE8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90AF292">
            <w:pPr>
              <w:pageBreakBefore w:val="0"/>
              <w:kinsoku/>
              <w:wordWrap w:val="0"/>
              <w:bidi w:val="0"/>
              <w:spacing w:line="360" w:lineRule="atLeast"/>
              <w:jc w:val="center"/>
              <w:rPr>
                <w:rFonts w:hint="default" w:ascii="Times New Roman" w:hAnsi="Times New Roman" w:cs="Times New Roman"/>
                <w:szCs w:val="21"/>
                <w:highlight w:val="none"/>
              </w:rPr>
            </w:pPr>
          </w:p>
        </w:tc>
      </w:tr>
      <w:tr w14:paraId="60A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7C579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top"/>
          </w:tcPr>
          <w:p w14:paraId="09EFE62C">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石方</w:t>
            </w:r>
          </w:p>
        </w:tc>
        <w:tc>
          <w:tcPr>
            <w:tcW w:w="837" w:type="dxa"/>
            <w:noWrap w:val="0"/>
            <w:vAlign w:val="center"/>
          </w:tcPr>
          <w:p w14:paraId="582270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6064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4BD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971FD">
            <w:pPr>
              <w:pageBreakBefore w:val="0"/>
              <w:kinsoku/>
              <w:wordWrap w:val="0"/>
              <w:bidi w:val="0"/>
              <w:spacing w:line="360" w:lineRule="atLeast"/>
              <w:jc w:val="center"/>
              <w:rPr>
                <w:rFonts w:hint="default" w:ascii="Times New Roman" w:hAnsi="Times New Roman" w:cs="Times New Roman"/>
                <w:szCs w:val="21"/>
                <w:highlight w:val="none"/>
              </w:rPr>
            </w:pPr>
          </w:p>
        </w:tc>
      </w:tr>
      <w:tr w14:paraId="742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EEAA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502-2</w:t>
            </w:r>
          </w:p>
        </w:tc>
        <w:tc>
          <w:tcPr>
            <w:tcW w:w="4644" w:type="dxa"/>
            <w:noWrap w:val="0"/>
            <w:vAlign w:val="center"/>
          </w:tcPr>
          <w:p w14:paraId="5C2661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4F44C7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0B511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EBA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17CC1F">
            <w:pPr>
              <w:pageBreakBefore w:val="0"/>
              <w:kinsoku/>
              <w:wordWrap w:val="0"/>
              <w:bidi w:val="0"/>
              <w:spacing w:line="360" w:lineRule="atLeast"/>
              <w:jc w:val="center"/>
              <w:rPr>
                <w:rFonts w:hint="default" w:ascii="Times New Roman" w:hAnsi="Times New Roman" w:cs="Times New Roman"/>
                <w:szCs w:val="21"/>
                <w:highlight w:val="none"/>
              </w:rPr>
            </w:pPr>
          </w:p>
        </w:tc>
      </w:tr>
      <w:tr w14:paraId="170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EE9C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8F0621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石砌截水沟、排水沟</w:t>
            </w:r>
          </w:p>
        </w:tc>
        <w:tc>
          <w:tcPr>
            <w:tcW w:w="837" w:type="dxa"/>
            <w:noWrap w:val="0"/>
            <w:vAlign w:val="center"/>
          </w:tcPr>
          <w:p w14:paraId="668E99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4B3A4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41A4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6C30A5">
            <w:pPr>
              <w:pageBreakBefore w:val="0"/>
              <w:kinsoku/>
              <w:wordWrap w:val="0"/>
              <w:bidi w:val="0"/>
              <w:spacing w:line="360" w:lineRule="atLeast"/>
              <w:jc w:val="center"/>
              <w:rPr>
                <w:rFonts w:hint="default" w:ascii="Times New Roman" w:hAnsi="Times New Roman" w:cs="Times New Roman"/>
                <w:szCs w:val="21"/>
                <w:highlight w:val="none"/>
              </w:rPr>
            </w:pPr>
          </w:p>
        </w:tc>
      </w:tr>
      <w:tr w14:paraId="674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B6DB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25313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638A0D2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F053A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D23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7E07DF">
            <w:pPr>
              <w:pageBreakBefore w:val="0"/>
              <w:kinsoku/>
              <w:wordWrap w:val="0"/>
              <w:bidi w:val="0"/>
              <w:spacing w:line="360" w:lineRule="atLeast"/>
              <w:jc w:val="center"/>
              <w:rPr>
                <w:rFonts w:hint="default" w:ascii="Times New Roman" w:hAnsi="Times New Roman" w:cs="Times New Roman"/>
                <w:szCs w:val="21"/>
                <w:highlight w:val="none"/>
              </w:rPr>
            </w:pPr>
          </w:p>
        </w:tc>
      </w:tr>
      <w:tr w14:paraId="395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EE24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13F0EE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79725E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58BDD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13C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CB82F0">
            <w:pPr>
              <w:pageBreakBefore w:val="0"/>
              <w:kinsoku/>
              <w:wordWrap w:val="0"/>
              <w:bidi w:val="0"/>
              <w:spacing w:line="360" w:lineRule="atLeast"/>
              <w:jc w:val="center"/>
              <w:rPr>
                <w:rFonts w:hint="default" w:ascii="Times New Roman" w:hAnsi="Times New Roman" w:cs="Times New Roman"/>
                <w:szCs w:val="21"/>
                <w:highlight w:val="none"/>
              </w:rPr>
            </w:pPr>
          </w:p>
        </w:tc>
      </w:tr>
      <w:tr w14:paraId="589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B42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09FF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0F1268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AE8F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4E85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8BC87">
            <w:pPr>
              <w:pageBreakBefore w:val="0"/>
              <w:kinsoku/>
              <w:wordWrap w:val="0"/>
              <w:bidi w:val="0"/>
              <w:spacing w:line="360" w:lineRule="atLeast"/>
              <w:jc w:val="center"/>
              <w:rPr>
                <w:rFonts w:hint="default" w:ascii="Times New Roman" w:hAnsi="Times New Roman" w:cs="Times New Roman"/>
                <w:szCs w:val="21"/>
                <w:highlight w:val="none"/>
              </w:rPr>
            </w:pPr>
          </w:p>
        </w:tc>
      </w:tr>
      <w:tr w14:paraId="52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842A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3CFDE4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noWrap w:val="0"/>
            <w:vAlign w:val="center"/>
          </w:tcPr>
          <w:p w14:paraId="09FD0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9E213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04BB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119F7">
            <w:pPr>
              <w:pageBreakBefore w:val="0"/>
              <w:kinsoku/>
              <w:wordWrap w:val="0"/>
              <w:bidi w:val="0"/>
              <w:spacing w:line="360" w:lineRule="atLeast"/>
              <w:jc w:val="center"/>
              <w:rPr>
                <w:rFonts w:hint="default" w:ascii="Times New Roman" w:hAnsi="Times New Roman" w:cs="Times New Roman"/>
                <w:szCs w:val="21"/>
                <w:highlight w:val="none"/>
              </w:rPr>
            </w:pPr>
          </w:p>
        </w:tc>
      </w:tr>
      <w:tr w14:paraId="615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32C8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61766C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837" w:type="dxa"/>
            <w:noWrap w:val="0"/>
            <w:vAlign w:val="center"/>
          </w:tcPr>
          <w:p w14:paraId="3C965B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482B1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7C2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C51480">
            <w:pPr>
              <w:pageBreakBefore w:val="0"/>
              <w:kinsoku/>
              <w:wordWrap w:val="0"/>
              <w:bidi w:val="0"/>
              <w:spacing w:line="360" w:lineRule="atLeast"/>
              <w:jc w:val="center"/>
              <w:rPr>
                <w:rFonts w:hint="default" w:ascii="Times New Roman" w:hAnsi="Times New Roman" w:cs="Times New Roman"/>
                <w:szCs w:val="21"/>
                <w:highlight w:val="none"/>
              </w:rPr>
            </w:pPr>
          </w:p>
        </w:tc>
      </w:tr>
      <w:tr w14:paraId="43C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3C718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390743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F51B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E10A6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C53F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EBB506">
            <w:pPr>
              <w:pageBreakBefore w:val="0"/>
              <w:kinsoku/>
              <w:wordWrap w:val="0"/>
              <w:bidi w:val="0"/>
              <w:spacing w:line="360" w:lineRule="atLeast"/>
              <w:jc w:val="center"/>
              <w:rPr>
                <w:rFonts w:hint="default" w:ascii="Times New Roman" w:hAnsi="Times New Roman" w:cs="Times New Roman"/>
                <w:szCs w:val="21"/>
                <w:highlight w:val="none"/>
              </w:rPr>
            </w:pPr>
          </w:p>
        </w:tc>
      </w:tr>
      <w:tr w14:paraId="698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2E26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502-3</w:t>
            </w:r>
          </w:p>
        </w:tc>
        <w:tc>
          <w:tcPr>
            <w:tcW w:w="4644" w:type="dxa"/>
            <w:noWrap w:val="0"/>
            <w:vAlign w:val="center"/>
          </w:tcPr>
          <w:p w14:paraId="0E02E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洞口坡面防护</w:t>
            </w:r>
          </w:p>
        </w:tc>
        <w:tc>
          <w:tcPr>
            <w:tcW w:w="837" w:type="dxa"/>
            <w:noWrap w:val="0"/>
            <w:vAlign w:val="center"/>
          </w:tcPr>
          <w:p w14:paraId="7C3216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5835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5C4E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578EE0">
            <w:pPr>
              <w:pageBreakBefore w:val="0"/>
              <w:kinsoku/>
              <w:wordWrap w:val="0"/>
              <w:bidi w:val="0"/>
              <w:spacing w:line="360" w:lineRule="atLeast"/>
              <w:jc w:val="center"/>
              <w:rPr>
                <w:rFonts w:hint="default" w:ascii="Times New Roman" w:hAnsi="Times New Roman" w:cs="Times New Roman"/>
                <w:szCs w:val="21"/>
                <w:highlight w:val="none"/>
              </w:rPr>
            </w:pPr>
          </w:p>
        </w:tc>
      </w:tr>
      <w:tr w14:paraId="60F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FC3B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9946DD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837" w:type="dxa"/>
            <w:noWrap w:val="0"/>
            <w:vAlign w:val="center"/>
          </w:tcPr>
          <w:p w14:paraId="39BD73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5419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2E6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1B49DD">
            <w:pPr>
              <w:pageBreakBefore w:val="0"/>
              <w:kinsoku/>
              <w:wordWrap w:val="0"/>
              <w:bidi w:val="0"/>
              <w:spacing w:line="360" w:lineRule="atLeast"/>
              <w:jc w:val="center"/>
              <w:rPr>
                <w:rFonts w:hint="default" w:ascii="Times New Roman" w:hAnsi="Times New Roman" w:cs="Times New Roman"/>
                <w:szCs w:val="21"/>
                <w:highlight w:val="none"/>
              </w:rPr>
            </w:pPr>
          </w:p>
        </w:tc>
      </w:tr>
      <w:tr w14:paraId="0F6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91E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B524B9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现浇混凝土护坡</w:t>
            </w:r>
          </w:p>
        </w:tc>
        <w:tc>
          <w:tcPr>
            <w:tcW w:w="837" w:type="dxa"/>
            <w:noWrap w:val="0"/>
            <w:vAlign w:val="center"/>
          </w:tcPr>
          <w:p w14:paraId="3D3EE9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1A7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2BE9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21DF4">
            <w:pPr>
              <w:pageBreakBefore w:val="0"/>
              <w:kinsoku/>
              <w:wordWrap w:val="0"/>
              <w:bidi w:val="0"/>
              <w:spacing w:line="360" w:lineRule="atLeast"/>
              <w:jc w:val="center"/>
              <w:rPr>
                <w:rFonts w:hint="default" w:ascii="Times New Roman" w:hAnsi="Times New Roman" w:cs="Times New Roman"/>
                <w:szCs w:val="21"/>
                <w:highlight w:val="none"/>
              </w:rPr>
            </w:pPr>
          </w:p>
        </w:tc>
      </w:tr>
      <w:tr w14:paraId="7F1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0C7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7D92F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预制安装混凝土护坡</w:t>
            </w:r>
          </w:p>
        </w:tc>
        <w:tc>
          <w:tcPr>
            <w:tcW w:w="837" w:type="dxa"/>
            <w:noWrap w:val="0"/>
            <w:vAlign w:val="center"/>
          </w:tcPr>
          <w:p w14:paraId="3B4307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500B8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EFD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3BD3FB">
            <w:pPr>
              <w:pageBreakBefore w:val="0"/>
              <w:kinsoku/>
              <w:wordWrap w:val="0"/>
              <w:bidi w:val="0"/>
              <w:spacing w:line="360" w:lineRule="atLeast"/>
              <w:jc w:val="center"/>
              <w:rPr>
                <w:rFonts w:hint="default" w:ascii="Times New Roman" w:hAnsi="Times New Roman" w:cs="Times New Roman"/>
                <w:szCs w:val="21"/>
                <w:highlight w:val="none"/>
              </w:rPr>
            </w:pPr>
          </w:p>
        </w:tc>
      </w:tr>
      <w:tr w14:paraId="02D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1124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1D17E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喷射混凝土护坡</w:t>
            </w:r>
          </w:p>
        </w:tc>
        <w:tc>
          <w:tcPr>
            <w:tcW w:w="837" w:type="dxa"/>
            <w:noWrap w:val="0"/>
            <w:vAlign w:val="center"/>
          </w:tcPr>
          <w:p w14:paraId="6757A8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167BD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76A1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22F916">
            <w:pPr>
              <w:pageBreakBefore w:val="0"/>
              <w:kinsoku/>
              <w:wordWrap w:val="0"/>
              <w:bidi w:val="0"/>
              <w:spacing w:line="360" w:lineRule="atLeast"/>
              <w:jc w:val="center"/>
              <w:rPr>
                <w:rFonts w:hint="default" w:ascii="Times New Roman" w:hAnsi="Times New Roman" w:cs="Times New Roman"/>
                <w:szCs w:val="21"/>
                <w:highlight w:val="none"/>
              </w:rPr>
            </w:pPr>
          </w:p>
        </w:tc>
      </w:tr>
      <w:tr w14:paraId="0F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9319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43CA6F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浆砌护面墙</w:t>
            </w:r>
          </w:p>
        </w:tc>
        <w:tc>
          <w:tcPr>
            <w:tcW w:w="837" w:type="dxa"/>
            <w:noWrap w:val="0"/>
            <w:vAlign w:val="center"/>
          </w:tcPr>
          <w:p w14:paraId="5E6F8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7973A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9801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726916">
            <w:pPr>
              <w:pageBreakBefore w:val="0"/>
              <w:kinsoku/>
              <w:wordWrap w:val="0"/>
              <w:bidi w:val="0"/>
              <w:spacing w:line="360" w:lineRule="atLeast"/>
              <w:jc w:val="center"/>
              <w:rPr>
                <w:rFonts w:hint="default" w:ascii="Times New Roman" w:hAnsi="Times New Roman" w:cs="Times New Roman"/>
                <w:szCs w:val="21"/>
                <w:highlight w:val="none"/>
              </w:rPr>
            </w:pPr>
          </w:p>
        </w:tc>
      </w:tr>
      <w:tr w14:paraId="56C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071C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0E9D61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837" w:type="dxa"/>
            <w:noWrap w:val="0"/>
            <w:vAlign w:val="center"/>
          </w:tcPr>
          <w:p w14:paraId="6FFB5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906E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342A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65D216">
            <w:pPr>
              <w:pageBreakBefore w:val="0"/>
              <w:kinsoku/>
              <w:wordWrap w:val="0"/>
              <w:bidi w:val="0"/>
              <w:spacing w:line="360" w:lineRule="atLeast"/>
              <w:jc w:val="center"/>
              <w:rPr>
                <w:rFonts w:hint="default" w:ascii="Times New Roman" w:hAnsi="Times New Roman" w:cs="Times New Roman"/>
                <w:szCs w:val="21"/>
                <w:highlight w:val="none"/>
              </w:rPr>
            </w:pPr>
          </w:p>
        </w:tc>
      </w:tr>
      <w:tr w14:paraId="7E9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8B32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16A17B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混凝土挡土墙</w:t>
            </w:r>
          </w:p>
        </w:tc>
        <w:tc>
          <w:tcPr>
            <w:tcW w:w="837" w:type="dxa"/>
            <w:noWrap w:val="0"/>
            <w:vAlign w:val="center"/>
          </w:tcPr>
          <w:p w14:paraId="0F618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10CC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928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A1622D">
            <w:pPr>
              <w:pageBreakBefore w:val="0"/>
              <w:kinsoku/>
              <w:wordWrap w:val="0"/>
              <w:bidi w:val="0"/>
              <w:spacing w:line="360" w:lineRule="atLeast"/>
              <w:jc w:val="center"/>
              <w:rPr>
                <w:rFonts w:hint="default" w:ascii="Times New Roman" w:hAnsi="Times New Roman" w:cs="Times New Roman"/>
                <w:szCs w:val="21"/>
                <w:highlight w:val="none"/>
              </w:rPr>
            </w:pPr>
          </w:p>
        </w:tc>
      </w:tr>
      <w:tr w14:paraId="4270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993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644" w:type="dxa"/>
            <w:noWrap w:val="0"/>
            <w:vAlign w:val="center"/>
          </w:tcPr>
          <w:p w14:paraId="31CCDF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地表注浆</w:t>
            </w:r>
          </w:p>
        </w:tc>
        <w:tc>
          <w:tcPr>
            <w:tcW w:w="837" w:type="dxa"/>
            <w:noWrap w:val="0"/>
            <w:vAlign w:val="center"/>
          </w:tcPr>
          <w:p w14:paraId="36C14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88AFD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8E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A3986C">
            <w:pPr>
              <w:pageBreakBefore w:val="0"/>
              <w:kinsoku/>
              <w:wordWrap w:val="0"/>
              <w:bidi w:val="0"/>
              <w:spacing w:line="360" w:lineRule="atLeast"/>
              <w:jc w:val="center"/>
              <w:rPr>
                <w:rFonts w:hint="default" w:ascii="Times New Roman" w:hAnsi="Times New Roman" w:cs="Times New Roman"/>
                <w:szCs w:val="21"/>
                <w:highlight w:val="none"/>
              </w:rPr>
            </w:pPr>
          </w:p>
        </w:tc>
      </w:tr>
      <w:tr w14:paraId="01D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8BE8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644" w:type="dxa"/>
            <w:noWrap w:val="0"/>
            <w:vAlign w:val="center"/>
          </w:tcPr>
          <w:p w14:paraId="3DB5C3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6CE088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6E7F1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A62B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943AE">
            <w:pPr>
              <w:pageBreakBefore w:val="0"/>
              <w:kinsoku/>
              <w:wordWrap w:val="0"/>
              <w:bidi w:val="0"/>
              <w:spacing w:line="360" w:lineRule="atLeast"/>
              <w:jc w:val="center"/>
              <w:rPr>
                <w:rFonts w:hint="default" w:ascii="Times New Roman" w:hAnsi="Times New Roman" w:cs="Times New Roman"/>
                <w:szCs w:val="21"/>
                <w:highlight w:val="none"/>
              </w:rPr>
            </w:pPr>
          </w:p>
        </w:tc>
      </w:tr>
      <w:tr w14:paraId="0C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566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644" w:type="dxa"/>
            <w:noWrap w:val="0"/>
            <w:vAlign w:val="center"/>
          </w:tcPr>
          <w:p w14:paraId="719883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837" w:type="dxa"/>
            <w:noWrap w:val="0"/>
            <w:vAlign w:val="center"/>
          </w:tcPr>
          <w:p w14:paraId="6CDFE1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E8EE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2CF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528B23">
            <w:pPr>
              <w:pageBreakBefore w:val="0"/>
              <w:kinsoku/>
              <w:wordWrap w:val="0"/>
              <w:bidi w:val="0"/>
              <w:spacing w:line="360" w:lineRule="atLeast"/>
              <w:jc w:val="center"/>
              <w:rPr>
                <w:rFonts w:hint="default" w:ascii="Times New Roman" w:hAnsi="Times New Roman" w:cs="Times New Roman"/>
                <w:szCs w:val="21"/>
                <w:highlight w:val="none"/>
              </w:rPr>
            </w:pPr>
          </w:p>
        </w:tc>
      </w:tr>
      <w:tr w14:paraId="26D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84F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644" w:type="dxa"/>
            <w:noWrap w:val="0"/>
            <w:vAlign w:val="center"/>
          </w:tcPr>
          <w:p w14:paraId="7701B64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837" w:type="dxa"/>
            <w:noWrap w:val="0"/>
            <w:vAlign w:val="center"/>
          </w:tcPr>
          <w:p w14:paraId="129A08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76085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41CE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EC5914">
            <w:pPr>
              <w:pageBreakBefore w:val="0"/>
              <w:kinsoku/>
              <w:wordWrap w:val="0"/>
              <w:bidi w:val="0"/>
              <w:spacing w:line="360" w:lineRule="atLeast"/>
              <w:jc w:val="center"/>
              <w:rPr>
                <w:rFonts w:hint="default" w:ascii="Times New Roman" w:hAnsi="Times New Roman" w:cs="Times New Roman"/>
                <w:szCs w:val="21"/>
                <w:highlight w:val="none"/>
              </w:rPr>
            </w:pPr>
          </w:p>
        </w:tc>
      </w:tr>
      <w:tr w14:paraId="4C5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87F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644" w:type="dxa"/>
            <w:noWrap w:val="0"/>
            <w:vAlign w:val="center"/>
          </w:tcPr>
          <w:p w14:paraId="7EEF5373">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837" w:type="dxa"/>
            <w:noWrap w:val="0"/>
            <w:vAlign w:val="center"/>
          </w:tcPr>
          <w:p w14:paraId="7263A4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7C24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B45E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71B37">
            <w:pPr>
              <w:pageBreakBefore w:val="0"/>
              <w:kinsoku/>
              <w:wordWrap w:val="0"/>
              <w:bidi w:val="0"/>
              <w:spacing w:line="360" w:lineRule="atLeast"/>
              <w:jc w:val="center"/>
              <w:rPr>
                <w:rFonts w:hint="default" w:ascii="Times New Roman" w:hAnsi="Times New Roman" w:cs="Times New Roman"/>
                <w:szCs w:val="21"/>
                <w:highlight w:val="none"/>
              </w:rPr>
            </w:pPr>
          </w:p>
        </w:tc>
      </w:tr>
      <w:tr w14:paraId="02B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0EE2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502-4</w:t>
            </w:r>
          </w:p>
        </w:tc>
        <w:tc>
          <w:tcPr>
            <w:tcW w:w="4644" w:type="dxa"/>
            <w:noWrap w:val="0"/>
            <w:vAlign w:val="center"/>
          </w:tcPr>
          <w:p w14:paraId="2B8841A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洞门建筑</w:t>
            </w:r>
          </w:p>
        </w:tc>
        <w:tc>
          <w:tcPr>
            <w:tcW w:w="837" w:type="dxa"/>
            <w:noWrap w:val="0"/>
            <w:vAlign w:val="center"/>
          </w:tcPr>
          <w:p w14:paraId="56DD756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E1F1A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F95F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1CC044">
            <w:pPr>
              <w:pageBreakBefore w:val="0"/>
              <w:kinsoku/>
              <w:wordWrap w:val="0"/>
              <w:bidi w:val="0"/>
              <w:spacing w:line="360" w:lineRule="atLeast"/>
              <w:jc w:val="center"/>
              <w:rPr>
                <w:rFonts w:hint="default" w:ascii="Times New Roman" w:hAnsi="Times New Roman" w:cs="Times New Roman"/>
                <w:szCs w:val="21"/>
                <w:highlight w:val="none"/>
              </w:rPr>
            </w:pPr>
          </w:p>
        </w:tc>
      </w:tr>
      <w:tr w14:paraId="6C2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8A2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5D3D0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4D688B7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13D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C154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19DC4">
            <w:pPr>
              <w:pageBreakBefore w:val="0"/>
              <w:kinsoku/>
              <w:wordWrap w:val="0"/>
              <w:bidi w:val="0"/>
              <w:spacing w:line="360" w:lineRule="atLeast"/>
              <w:jc w:val="center"/>
              <w:rPr>
                <w:rFonts w:hint="default" w:ascii="Times New Roman" w:hAnsi="Times New Roman" w:cs="Times New Roman"/>
                <w:szCs w:val="21"/>
                <w:highlight w:val="none"/>
              </w:rPr>
            </w:pPr>
          </w:p>
        </w:tc>
      </w:tr>
      <w:tr w14:paraId="1E0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D5BE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CE0D4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预制安装混凝土块</w:t>
            </w:r>
          </w:p>
        </w:tc>
        <w:tc>
          <w:tcPr>
            <w:tcW w:w="837" w:type="dxa"/>
            <w:noWrap w:val="0"/>
            <w:vAlign w:val="center"/>
          </w:tcPr>
          <w:p w14:paraId="75D41A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6FFAE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F15B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96082">
            <w:pPr>
              <w:pageBreakBefore w:val="0"/>
              <w:kinsoku/>
              <w:wordWrap w:val="0"/>
              <w:bidi w:val="0"/>
              <w:spacing w:line="360" w:lineRule="atLeast"/>
              <w:jc w:val="center"/>
              <w:rPr>
                <w:rFonts w:hint="default" w:ascii="Times New Roman" w:hAnsi="Times New Roman" w:cs="Times New Roman"/>
                <w:szCs w:val="21"/>
                <w:highlight w:val="none"/>
              </w:rPr>
            </w:pPr>
          </w:p>
        </w:tc>
      </w:tr>
      <w:tr w14:paraId="27A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C86E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9E6810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浆砌片粗料石（块石）</w:t>
            </w:r>
          </w:p>
        </w:tc>
        <w:tc>
          <w:tcPr>
            <w:tcW w:w="837" w:type="dxa"/>
            <w:noWrap w:val="0"/>
            <w:vAlign w:val="center"/>
          </w:tcPr>
          <w:p w14:paraId="16931C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D6FD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2E8E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477911">
            <w:pPr>
              <w:pageBreakBefore w:val="0"/>
              <w:kinsoku/>
              <w:wordWrap w:val="0"/>
              <w:bidi w:val="0"/>
              <w:spacing w:line="360" w:lineRule="atLeast"/>
              <w:jc w:val="center"/>
              <w:rPr>
                <w:rFonts w:hint="default" w:ascii="Times New Roman" w:hAnsi="Times New Roman" w:cs="Times New Roman"/>
                <w:szCs w:val="21"/>
                <w:highlight w:val="none"/>
              </w:rPr>
            </w:pPr>
          </w:p>
        </w:tc>
      </w:tr>
      <w:tr w14:paraId="515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4C10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DFB5F8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洞门墙装修</w:t>
            </w:r>
          </w:p>
        </w:tc>
        <w:tc>
          <w:tcPr>
            <w:tcW w:w="837" w:type="dxa"/>
            <w:noWrap w:val="0"/>
            <w:vAlign w:val="center"/>
          </w:tcPr>
          <w:p w14:paraId="61F003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7ECCF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0A5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CC76A1A">
            <w:pPr>
              <w:pageBreakBefore w:val="0"/>
              <w:kinsoku/>
              <w:wordWrap w:val="0"/>
              <w:bidi w:val="0"/>
              <w:spacing w:line="360" w:lineRule="atLeast"/>
              <w:jc w:val="center"/>
              <w:rPr>
                <w:rFonts w:hint="default" w:ascii="Times New Roman" w:hAnsi="Times New Roman" w:cs="Times New Roman"/>
                <w:szCs w:val="21"/>
                <w:highlight w:val="none"/>
              </w:rPr>
            </w:pPr>
          </w:p>
        </w:tc>
      </w:tr>
      <w:tr w14:paraId="68F6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F644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1D975D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54F70A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E7AEC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C322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6AF159">
            <w:pPr>
              <w:pageBreakBefore w:val="0"/>
              <w:kinsoku/>
              <w:wordWrap w:val="0"/>
              <w:bidi w:val="0"/>
              <w:spacing w:line="360" w:lineRule="atLeast"/>
              <w:jc w:val="center"/>
              <w:rPr>
                <w:rFonts w:hint="default" w:ascii="Times New Roman" w:hAnsi="Times New Roman" w:cs="Times New Roman"/>
                <w:szCs w:val="21"/>
                <w:highlight w:val="none"/>
              </w:rPr>
            </w:pPr>
          </w:p>
        </w:tc>
      </w:tr>
      <w:tr w14:paraId="11D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07B5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18F68C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隧道铭牌</w:t>
            </w:r>
          </w:p>
        </w:tc>
        <w:tc>
          <w:tcPr>
            <w:tcW w:w="837" w:type="dxa"/>
            <w:noWrap w:val="0"/>
            <w:vAlign w:val="center"/>
          </w:tcPr>
          <w:p w14:paraId="472F1E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1E4A41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A610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B9780">
            <w:pPr>
              <w:pageBreakBefore w:val="0"/>
              <w:kinsoku/>
              <w:wordWrap w:val="0"/>
              <w:bidi w:val="0"/>
              <w:spacing w:line="360" w:lineRule="atLeast"/>
              <w:jc w:val="center"/>
              <w:rPr>
                <w:rFonts w:hint="default" w:ascii="Times New Roman" w:hAnsi="Times New Roman" w:cs="Times New Roman"/>
                <w:szCs w:val="21"/>
                <w:highlight w:val="none"/>
              </w:rPr>
            </w:pPr>
          </w:p>
        </w:tc>
      </w:tr>
    </w:tbl>
    <w:p w14:paraId="6813C10D">
      <w:pPr>
        <w:pageBreakBefore w:val="0"/>
        <w:kinsoku/>
        <w:wordWrap w:val="0"/>
        <w:bidi w:val="0"/>
        <w:rPr>
          <w:rFonts w:hint="default" w:ascii="Times New Roman" w:hAnsi="Times New Roman" w:cs="Times New Roman"/>
          <w:highlight w:val="none"/>
        </w:rPr>
      </w:pPr>
      <w:r>
        <w:rPr>
          <w:rFonts w:hint="default" w:ascii="Times New Roman" w:hAnsi="Times New Roman" w:cs="Times New Roman"/>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1B8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818D50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311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4729FC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400DC7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5078850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B82367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D366BAE">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023BA1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2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1FC33D5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502-5</w:t>
            </w:r>
          </w:p>
        </w:tc>
        <w:tc>
          <w:tcPr>
            <w:tcW w:w="4644" w:type="dxa"/>
            <w:tcBorders>
              <w:top w:val="single" w:color="auto" w:sz="4" w:space="0"/>
              <w:left w:val="single" w:color="auto" w:sz="4" w:space="0"/>
              <w:right w:val="single" w:color="auto" w:sz="4" w:space="0"/>
            </w:tcBorders>
            <w:noWrap w:val="0"/>
            <w:vAlign w:val="center"/>
          </w:tcPr>
          <w:p w14:paraId="2AFB401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明洞衬砌</w:t>
            </w:r>
          </w:p>
        </w:tc>
        <w:tc>
          <w:tcPr>
            <w:tcW w:w="837" w:type="dxa"/>
            <w:tcBorders>
              <w:top w:val="single" w:color="auto" w:sz="4" w:space="0"/>
              <w:left w:val="single" w:color="auto" w:sz="4" w:space="0"/>
              <w:right w:val="single" w:color="auto" w:sz="4" w:space="0"/>
            </w:tcBorders>
            <w:noWrap w:val="0"/>
            <w:vAlign w:val="center"/>
          </w:tcPr>
          <w:p w14:paraId="06573425">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2DA590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CDAE7D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D8536EF">
            <w:pPr>
              <w:pageBreakBefore w:val="0"/>
              <w:kinsoku/>
              <w:wordWrap w:val="0"/>
              <w:bidi w:val="0"/>
              <w:spacing w:line="340" w:lineRule="atLeast"/>
              <w:jc w:val="center"/>
              <w:rPr>
                <w:rFonts w:hint="default" w:ascii="Times New Roman" w:hAnsi="Times New Roman" w:cs="Times New Roman"/>
                <w:szCs w:val="21"/>
                <w:highlight w:val="none"/>
              </w:rPr>
            </w:pPr>
          </w:p>
        </w:tc>
      </w:tr>
      <w:tr w14:paraId="58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F231A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5B2AF5C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tcBorders>
              <w:top w:val="single" w:color="auto" w:sz="4" w:space="0"/>
              <w:left w:val="single" w:color="auto" w:sz="4" w:space="0"/>
              <w:right w:val="single" w:color="auto" w:sz="4" w:space="0"/>
            </w:tcBorders>
            <w:noWrap w:val="0"/>
            <w:vAlign w:val="center"/>
          </w:tcPr>
          <w:p w14:paraId="6F44E1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CDA702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FC8226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6F7A6E0">
            <w:pPr>
              <w:pageBreakBefore w:val="0"/>
              <w:kinsoku/>
              <w:wordWrap w:val="0"/>
              <w:bidi w:val="0"/>
              <w:spacing w:line="340" w:lineRule="atLeast"/>
              <w:jc w:val="center"/>
              <w:rPr>
                <w:rFonts w:hint="default" w:ascii="Times New Roman" w:hAnsi="Times New Roman" w:cs="Times New Roman"/>
                <w:szCs w:val="21"/>
                <w:highlight w:val="none"/>
              </w:rPr>
            </w:pPr>
          </w:p>
        </w:tc>
      </w:tr>
      <w:tr w14:paraId="275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01A15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3DE9CF8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tcBorders>
              <w:top w:val="single" w:color="auto" w:sz="4" w:space="0"/>
              <w:left w:val="single" w:color="auto" w:sz="4" w:space="0"/>
              <w:right w:val="single" w:color="auto" w:sz="4" w:space="0"/>
            </w:tcBorders>
            <w:noWrap w:val="0"/>
            <w:vAlign w:val="center"/>
          </w:tcPr>
          <w:p w14:paraId="4AF217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tcBorders>
              <w:top w:val="single" w:color="auto" w:sz="4" w:space="0"/>
              <w:left w:val="single" w:color="auto" w:sz="4" w:space="0"/>
              <w:right w:val="single" w:color="auto" w:sz="4" w:space="0"/>
            </w:tcBorders>
            <w:noWrap w:val="0"/>
            <w:vAlign w:val="center"/>
          </w:tcPr>
          <w:p w14:paraId="47DBC36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ABC73A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0036D0">
            <w:pPr>
              <w:pageBreakBefore w:val="0"/>
              <w:kinsoku/>
              <w:wordWrap w:val="0"/>
              <w:bidi w:val="0"/>
              <w:spacing w:line="340" w:lineRule="atLeast"/>
              <w:jc w:val="center"/>
              <w:rPr>
                <w:rFonts w:hint="default" w:ascii="Times New Roman" w:hAnsi="Times New Roman" w:cs="Times New Roman"/>
                <w:szCs w:val="21"/>
                <w:highlight w:val="none"/>
              </w:rPr>
            </w:pPr>
          </w:p>
        </w:tc>
      </w:tr>
      <w:tr w14:paraId="6F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56426F8">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502-6</w:t>
            </w:r>
          </w:p>
        </w:tc>
        <w:tc>
          <w:tcPr>
            <w:tcW w:w="4644" w:type="dxa"/>
            <w:tcBorders>
              <w:top w:val="single" w:color="auto" w:sz="4" w:space="0"/>
              <w:left w:val="single" w:color="auto" w:sz="4" w:space="0"/>
              <w:right w:val="single" w:color="auto" w:sz="4" w:space="0"/>
            </w:tcBorders>
            <w:noWrap w:val="0"/>
            <w:vAlign w:val="center"/>
          </w:tcPr>
          <w:p w14:paraId="00E9110B">
            <w:pPr>
              <w:pageBreakBefore w:val="0"/>
              <w:widowControl/>
              <w:kinsoku/>
              <w:wordWrap w:val="0"/>
              <w:bidi w:val="0"/>
              <w:spacing w:line="34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遮光棚（板）</w:t>
            </w:r>
          </w:p>
        </w:tc>
        <w:tc>
          <w:tcPr>
            <w:tcW w:w="837" w:type="dxa"/>
            <w:tcBorders>
              <w:top w:val="single" w:color="auto" w:sz="4" w:space="0"/>
              <w:left w:val="single" w:color="auto" w:sz="4" w:space="0"/>
              <w:right w:val="single" w:color="auto" w:sz="4" w:space="0"/>
            </w:tcBorders>
            <w:noWrap w:val="0"/>
            <w:vAlign w:val="center"/>
          </w:tcPr>
          <w:p w14:paraId="17EFD55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3E7D95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34F79E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F098D3D">
            <w:pPr>
              <w:pageBreakBefore w:val="0"/>
              <w:kinsoku/>
              <w:wordWrap w:val="0"/>
              <w:bidi w:val="0"/>
              <w:spacing w:line="340" w:lineRule="atLeast"/>
              <w:jc w:val="center"/>
              <w:rPr>
                <w:rFonts w:hint="default" w:ascii="Times New Roman" w:hAnsi="Times New Roman" w:cs="Times New Roman"/>
                <w:szCs w:val="21"/>
                <w:highlight w:val="none"/>
              </w:rPr>
            </w:pPr>
          </w:p>
        </w:tc>
      </w:tr>
      <w:tr w14:paraId="2151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137E1F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502-7</w:t>
            </w:r>
          </w:p>
        </w:tc>
        <w:tc>
          <w:tcPr>
            <w:tcW w:w="4644" w:type="dxa"/>
            <w:tcBorders>
              <w:top w:val="single" w:color="auto" w:sz="4" w:space="0"/>
              <w:left w:val="single" w:color="auto" w:sz="4" w:space="0"/>
              <w:right w:val="single" w:color="auto" w:sz="4" w:space="0"/>
            </w:tcBorders>
            <w:noWrap w:val="0"/>
            <w:vAlign w:val="center"/>
          </w:tcPr>
          <w:p w14:paraId="6319965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洞顶回填</w:t>
            </w:r>
          </w:p>
        </w:tc>
        <w:tc>
          <w:tcPr>
            <w:tcW w:w="837" w:type="dxa"/>
            <w:tcBorders>
              <w:top w:val="single" w:color="auto" w:sz="4" w:space="0"/>
              <w:left w:val="single" w:color="auto" w:sz="4" w:space="0"/>
              <w:right w:val="single" w:color="auto" w:sz="4" w:space="0"/>
            </w:tcBorders>
            <w:noWrap w:val="0"/>
            <w:vAlign w:val="center"/>
          </w:tcPr>
          <w:p w14:paraId="168199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tcBorders>
              <w:top w:val="single" w:color="auto" w:sz="4" w:space="0"/>
              <w:left w:val="single" w:color="auto" w:sz="4" w:space="0"/>
              <w:right w:val="single" w:color="auto" w:sz="4" w:space="0"/>
            </w:tcBorders>
            <w:noWrap w:val="0"/>
            <w:vAlign w:val="center"/>
          </w:tcPr>
          <w:p w14:paraId="0539F0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06D7B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C5D09AB">
            <w:pPr>
              <w:pageBreakBefore w:val="0"/>
              <w:kinsoku/>
              <w:wordWrap w:val="0"/>
              <w:bidi w:val="0"/>
              <w:spacing w:line="340" w:lineRule="atLeast"/>
              <w:jc w:val="center"/>
              <w:rPr>
                <w:rFonts w:hint="default" w:ascii="Times New Roman" w:hAnsi="Times New Roman" w:cs="Times New Roman"/>
                <w:szCs w:val="21"/>
                <w:highlight w:val="none"/>
              </w:rPr>
            </w:pPr>
          </w:p>
        </w:tc>
      </w:tr>
      <w:tr w14:paraId="35C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2B2B75D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793D94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837" w:type="dxa"/>
            <w:tcBorders>
              <w:top w:val="single" w:color="auto" w:sz="4" w:space="0"/>
              <w:left w:val="single" w:color="auto" w:sz="4" w:space="0"/>
              <w:right w:val="single" w:color="auto" w:sz="4" w:space="0"/>
            </w:tcBorders>
            <w:noWrap w:val="0"/>
            <w:vAlign w:val="center"/>
          </w:tcPr>
          <w:p w14:paraId="41C8825F">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394C827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FB7676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43E5276">
            <w:pPr>
              <w:pageBreakBefore w:val="0"/>
              <w:kinsoku/>
              <w:wordWrap w:val="0"/>
              <w:bidi w:val="0"/>
              <w:spacing w:line="340" w:lineRule="atLeast"/>
              <w:jc w:val="center"/>
              <w:rPr>
                <w:rFonts w:hint="default" w:ascii="Times New Roman" w:hAnsi="Times New Roman" w:cs="Times New Roman"/>
                <w:szCs w:val="21"/>
                <w:highlight w:val="none"/>
              </w:rPr>
            </w:pPr>
          </w:p>
        </w:tc>
      </w:tr>
      <w:tr w14:paraId="3C6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C5F954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tcBorders>
              <w:top w:val="single" w:color="auto" w:sz="4" w:space="0"/>
              <w:left w:val="single" w:color="auto" w:sz="4" w:space="0"/>
              <w:right w:val="single" w:color="auto" w:sz="4" w:space="0"/>
            </w:tcBorders>
            <w:noWrap w:val="0"/>
            <w:vAlign w:val="center"/>
          </w:tcPr>
          <w:p w14:paraId="1B0E51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黏土防水层</w:t>
            </w:r>
          </w:p>
        </w:tc>
        <w:tc>
          <w:tcPr>
            <w:tcW w:w="837" w:type="dxa"/>
            <w:tcBorders>
              <w:top w:val="single" w:color="auto" w:sz="4" w:space="0"/>
              <w:left w:val="single" w:color="auto" w:sz="4" w:space="0"/>
              <w:right w:val="single" w:color="auto" w:sz="4" w:space="0"/>
            </w:tcBorders>
            <w:noWrap w:val="0"/>
            <w:vAlign w:val="center"/>
          </w:tcPr>
          <w:p w14:paraId="3ED9F2E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23136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EF9F5C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B734BA">
            <w:pPr>
              <w:pageBreakBefore w:val="0"/>
              <w:kinsoku/>
              <w:wordWrap w:val="0"/>
              <w:bidi w:val="0"/>
              <w:spacing w:line="340" w:lineRule="atLeast"/>
              <w:jc w:val="center"/>
              <w:rPr>
                <w:rFonts w:hint="default" w:ascii="Times New Roman" w:hAnsi="Times New Roman" w:cs="Times New Roman"/>
                <w:szCs w:val="21"/>
                <w:highlight w:val="none"/>
              </w:rPr>
            </w:pPr>
          </w:p>
        </w:tc>
      </w:tr>
      <w:tr w14:paraId="546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0444B1E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tcBorders>
              <w:top w:val="single" w:color="auto" w:sz="4" w:space="0"/>
              <w:left w:val="single" w:color="auto" w:sz="4" w:space="0"/>
              <w:right w:val="single" w:color="auto" w:sz="4" w:space="0"/>
            </w:tcBorders>
            <w:noWrap w:val="0"/>
            <w:vAlign w:val="center"/>
          </w:tcPr>
          <w:p w14:paraId="6C11C4B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tcBorders>
              <w:top w:val="single" w:color="auto" w:sz="4" w:space="0"/>
              <w:left w:val="single" w:color="auto" w:sz="4" w:space="0"/>
              <w:right w:val="single" w:color="auto" w:sz="4" w:space="0"/>
            </w:tcBorders>
            <w:noWrap w:val="0"/>
            <w:vAlign w:val="center"/>
          </w:tcPr>
          <w:p w14:paraId="7B597F1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251ABF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D946D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15C5023">
            <w:pPr>
              <w:pageBreakBefore w:val="0"/>
              <w:kinsoku/>
              <w:wordWrap w:val="0"/>
              <w:bidi w:val="0"/>
              <w:spacing w:line="340" w:lineRule="atLeast"/>
              <w:jc w:val="center"/>
              <w:rPr>
                <w:rFonts w:hint="default" w:ascii="Times New Roman" w:hAnsi="Times New Roman" w:cs="Times New Roman"/>
                <w:szCs w:val="21"/>
                <w:highlight w:val="none"/>
              </w:rPr>
            </w:pPr>
          </w:p>
        </w:tc>
      </w:tr>
      <w:tr w14:paraId="4D0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F796D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7278D6D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回填</w:t>
            </w:r>
          </w:p>
        </w:tc>
        <w:tc>
          <w:tcPr>
            <w:tcW w:w="837" w:type="dxa"/>
            <w:tcBorders>
              <w:top w:val="single" w:color="auto" w:sz="4" w:space="0"/>
              <w:left w:val="single" w:color="auto" w:sz="4" w:space="0"/>
              <w:right w:val="single" w:color="auto" w:sz="4" w:space="0"/>
            </w:tcBorders>
            <w:noWrap w:val="0"/>
            <w:vAlign w:val="center"/>
          </w:tcPr>
          <w:p w14:paraId="0F0918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0429E9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0C24F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9864114">
            <w:pPr>
              <w:pageBreakBefore w:val="0"/>
              <w:kinsoku/>
              <w:wordWrap w:val="0"/>
              <w:bidi w:val="0"/>
              <w:spacing w:line="340" w:lineRule="atLeast"/>
              <w:jc w:val="center"/>
              <w:rPr>
                <w:rFonts w:hint="default" w:ascii="Times New Roman" w:hAnsi="Times New Roman" w:cs="Times New Roman"/>
                <w:szCs w:val="21"/>
                <w:highlight w:val="none"/>
              </w:rPr>
            </w:pPr>
          </w:p>
        </w:tc>
      </w:tr>
      <w:tr w14:paraId="110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6DD1ED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w:t>
            </w:r>
          </w:p>
        </w:tc>
        <w:tc>
          <w:tcPr>
            <w:tcW w:w="4644" w:type="dxa"/>
            <w:tcBorders>
              <w:top w:val="single" w:color="auto" w:sz="4" w:space="0"/>
              <w:left w:val="single" w:color="auto" w:sz="4" w:space="0"/>
              <w:right w:val="single" w:color="auto" w:sz="4" w:space="0"/>
            </w:tcBorders>
            <w:noWrap w:val="0"/>
            <w:vAlign w:val="center"/>
          </w:tcPr>
          <w:p w14:paraId="6DE60CB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w:t>
            </w:r>
          </w:p>
        </w:tc>
        <w:tc>
          <w:tcPr>
            <w:tcW w:w="837" w:type="dxa"/>
            <w:tcBorders>
              <w:top w:val="single" w:color="auto" w:sz="4" w:space="0"/>
              <w:left w:val="single" w:color="auto" w:sz="4" w:space="0"/>
              <w:right w:val="single" w:color="auto" w:sz="4" w:space="0"/>
            </w:tcBorders>
            <w:noWrap w:val="0"/>
            <w:vAlign w:val="center"/>
          </w:tcPr>
          <w:p w14:paraId="1B1D3C02">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BA402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2DE978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5C3B87BF">
            <w:pPr>
              <w:pageBreakBefore w:val="0"/>
              <w:kinsoku/>
              <w:wordWrap w:val="0"/>
              <w:bidi w:val="0"/>
              <w:spacing w:line="340" w:lineRule="atLeast"/>
              <w:jc w:val="center"/>
              <w:rPr>
                <w:rFonts w:hint="default" w:ascii="Times New Roman" w:hAnsi="Times New Roman" w:cs="Times New Roman"/>
                <w:szCs w:val="21"/>
                <w:highlight w:val="none"/>
              </w:rPr>
            </w:pPr>
          </w:p>
        </w:tc>
      </w:tr>
      <w:tr w14:paraId="6FA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86C117">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503-1</w:t>
            </w:r>
          </w:p>
        </w:tc>
        <w:tc>
          <w:tcPr>
            <w:tcW w:w="4644" w:type="dxa"/>
            <w:noWrap w:val="0"/>
            <w:vAlign w:val="center"/>
          </w:tcPr>
          <w:p w14:paraId="1A0CD21D">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洞身开挖</w:t>
            </w:r>
          </w:p>
        </w:tc>
        <w:tc>
          <w:tcPr>
            <w:tcW w:w="837" w:type="dxa"/>
            <w:noWrap w:val="0"/>
            <w:vAlign w:val="center"/>
          </w:tcPr>
          <w:p w14:paraId="07A3D53C">
            <w:pPr>
              <w:pageBreakBefore w:val="0"/>
              <w:kinsoku/>
              <w:wordWrap w:val="0"/>
              <w:bidi w:val="0"/>
              <w:spacing w:line="340" w:lineRule="atLeast"/>
              <w:rPr>
                <w:rFonts w:hint="default" w:ascii="Times New Roman" w:hAnsi="Times New Roman" w:cs="Times New Roman"/>
                <w:szCs w:val="21"/>
                <w:highlight w:val="none"/>
              </w:rPr>
            </w:pPr>
          </w:p>
        </w:tc>
        <w:tc>
          <w:tcPr>
            <w:tcW w:w="837" w:type="dxa"/>
            <w:noWrap w:val="0"/>
            <w:vAlign w:val="center"/>
          </w:tcPr>
          <w:p w14:paraId="3BF7A2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461AC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583AC1">
            <w:pPr>
              <w:pageBreakBefore w:val="0"/>
              <w:kinsoku/>
              <w:wordWrap w:val="0"/>
              <w:bidi w:val="0"/>
              <w:spacing w:line="340" w:lineRule="atLeast"/>
              <w:jc w:val="center"/>
              <w:rPr>
                <w:rFonts w:hint="default" w:ascii="Times New Roman" w:hAnsi="Times New Roman" w:cs="Times New Roman"/>
                <w:szCs w:val="21"/>
                <w:highlight w:val="none"/>
              </w:rPr>
            </w:pPr>
          </w:p>
        </w:tc>
      </w:tr>
      <w:tr w14:paraId="18D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DCA6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0B5B9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洞身开挖（不含竖井、斜井）</w:t>
            </w:r>
          </w:p>
        </w:tc>
        <w:tc>
          <w:tcPr>
            <w:tcW w:w="837" w:type="dxa"/>
            <w:noWrap w:val="0"/>
            <w:vAlign w:val="center"/>
          </w:tcPr>
          <w:p w14:paraId="158E44E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E58F0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E895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07F05F">
            <w:pPr>
              <w:pageBreakBefore w:val="0"/>
              <w:kinsoku/>
              <w:wordWrap w:val="0"/>
              <w:bidi w:val="0"/>
              <w:spacing w:line="340" w:lineRule="atLeast"/>
              <w:jc w:val="center"/>
              <w:rPr>
                <w:rFonts w:hint="default" w:ascii="Times New Roman" w:hAnsi="Times New Roman" w:cs="Times New Roman"/>
                <w:szCs w:val="21"/>
                <w:highlight w:val="none"/>
              </w:rPr>
            </w:pPr>
          </w:p>
        </w:tc>
      </w:tr>
      <w:tr w14:paraId="3FD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390B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7B7D8B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竖井洞身开挖</w:t>
            </w:r>
          </w:p>
        </w:tc>
        <w:tc>
          <w:tcPr>
            <w:tcW w:w="837" w:type="dxa"/>
            <w:noWrap w:val="0"/>
            <w:vAlign w:val="center"/>
          </w:tcPr>
          <w:p w14:paraId="54DA1F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5571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F1AA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DDD824">
            <w:pPr>
              <w:pageBreakBefore w:val="0"/>
              <w:kinsoku/>
              <w:wordWrap w:val="0"/>
              <w:bidi w:val="0"/>
              <w:spacing w:line="340" w:lineRule="atLeast"/>
              <w:jc w:val="center"/>
              <w:rPr>
                <w:rFonts w:hint="default" w:ascii="Times New Roman" w:hAnsi="Times New Roman" w:cs="Times New Roman"/>
                <w:szCs w:val="21"/>
                <w:highlight w:val="none"/>
              </w:rPr>
            </w:pPr>
          </w:p>
        </w:tc>
      </w:tr>
      <w:tr w14:paraId="19A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47F2A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5CF245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斜井洞身开挖</w:t>
            </w:r>
          </w:p>
        </w:tc>
        <w:tc>
          <w:tcPr>
            <w:tcW w:w="837" w:type="dxa"/>
            <w:noWrap w:val="0"/>
            <w:vAlign w:val="center"/>
          </w:tcPr>
          <w:p w14:paraId="7891F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D3B173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962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B7058">
            <w:pPr>
              <w:pageBreakBefore w:val="0"/>
              <w:kinsoku/>
              <w:wordWrap w:val="0"/>
              <w:bidi w:val="0"/>
              <w:spacing w:line="340" w:lineRule="atLeast"/>
              <w:jc w:val="center"/>
              <w:rPr>
                <w:rFonts w:hint="default" w:ascii="Times New Roman" w:hAnsi="Times New Roman" w:cs="Times New Roman"/>
                <w:szCs w:val="21"/>
                <w:highlight w:val="none"/>
              </w:rPr>
            </w:pPr>
          </w:p>
        </w:tc>
      </w:tr>
      <w:tr w14:paraId="79B1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0D64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503-2</w:t>
            </w:r>
          </w:p>
        </w:tc>
        <w:tc>
          <w:tcPr>
            <w:tcW w:w="4644" w:type="dxa"/>
            <w:noWrap w:val="0"/>
            <w:vAlign w:val="center"/>
          </w:tcPr>
          <w:p w14:paraId="1B56033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洞身支护</w:t>
            </w:r>
          </w:p>
        </w:tc>
        <w:tc>
          <w:tcPr>
            <w:tcW w:w="837" w:type="dxa"/>
            <w:noWrap w:val="0"/>
            <w:vAlign w:val="center"/>
          </w:tcPr>
          <w:p w14:paraId="1E3D987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0A651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2BB7D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E00832">
            <w:pPr>
              <w:pageBreakBefore w:val="0"/>
              <w:kinsoku/>
              <w:wordWrap w:val="0"/>
              <w:bidi w:val="0"/>
              <w:spacing w:line="340" w:lineRule="atLeast"/>
              <w:jc w:val="center"/>
              <w:rPr>
                <w:rFonts w:hint="default" w:ascii="Times New Roman" w:hAnsi="Times New Roman" w:cs="Times New Roman"/>
                <w:szCs w:val="21"/>
                <w:highlight w:val="none"/>
              </w:rPr>
            </w:pPr>
          </w:p>
        </w:tc>
      </w:tr>
      <w:tr w14:paraId="51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14D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4F3B0A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管棚支护</w:t>
            </w:r>
          </w:p>
        </w:tc>
        <w:tc>
          <w:tcPr>
            <w:tcW w:w="837" w:type="dxa"/>
            <w:noWrap w:val="0"/>
            <w:vAlign w:val="center"/>
          </w:tcPr>
          <w:p w14:paraId="541C46EE">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5129B3D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A3DB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525BC">
            <w:pPr>
              <w:pageBreakBefore w:val="0"/>
              <w:kinsoku/>
              <w:wordWrap w:val="0"/>
              <w:bidi w:val="0"/>
              <w:spacing w:line="340" w:lineRule="atLeast"/>
              <w:jc w:val="center"/>
              <w:rPr>
                <w:rFonts w:hint="default" w:ascii="Times New Roman" w:hAnsi="Times New Roman" w:cs="Times New Roman"/>
                <w:szCs w:val="21"/>
                <w:highlight w:val="none"/>
              </w:rPr>
            </w:pPr>
          </w:p>
        </w:tc>
      </w:tr>
      <w:tr w14:paraId="01C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9B60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noWrap w:val="0"/>
            <w:vAlign w:val="center"/>
          </w:tcPr>
          <w:p w14:paraId="1C9514C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基础钢管桩</w:t>
            </w:r>
          </w:p>
        </w:tc>
        <w:tc>
          <w:tcPr>
            <w:tcW w:w="837" w:type="dxa"/>
            <w:noWrap w:val="0"/>
            <w:vAlign w:val="center"/>
          </w:tcPr>
          <w:p w14:paraId="5EC7DC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CA640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413D6C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123D31">
            <w:pPr>
              <w:pageBreakBefore w:val="0"/>
              <w:kinsoku/>
              <w:wordWrap w:val="0"/>
              <w:bidi w:val="0"/>
              <w:spacing w:line="340" w:lineRule="atLeast"/>
              <w:jc w:val="center"/>
              <w:rPr>
                <w:rFonts w:hint="default" w:ascii="Times New Roman" w:hAnsi="Times New Roman" w:cs="Times New Roman"/>
                <w:szCs w:val="21"/>
                <w:highlight w:val="none"/>
              </w:rPr>
            </w:pPr>
          </w:p>
        </w:tc>
      </w:tr>
      <w:tr w14:paraId="3FC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AD068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noWrap w:val="0"/>
            <w:vAlign w:val="center"/>
          </w:tcPr>
          <w:p w14:paraId="3E8FFA3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套拱混凝土</w:t>
            </w:r>
          </w:p>
        </w:tc>
        <w:tc>
          <w:tcPr>
            <w:tcW w:w="837" w:type="dxa"/>
            <w:noWrap w:val="0"/>
            <w:vAlign w:val="center"/>
          </w:tcPr>
          <w:p w14:paraId="69E0E0B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B1882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D20CB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9860EC">
            <w:pPr>
              <w:pageBreakBefore w:val="0"/>
              <w:kinsoku/>
              <w:wordWrap w:val="0"/>
              <w:bidi w:val="0"/>
              <w:spacing w:line="340" w:lineRule="atLeast"/>
              <w:jc w:val="center"/>
              <w:rPr>
                <w:rFonts w:hint="default" w:ascii="Times New Roman" w:hAnsi="Times New Roman" w:cs="Times New Roman"/>
                <w:szCs w:val="21"/>
                <w:highlight w:val="none"/>
              </w:rPr>
            </w:pPr>
          </w:p>
        </w:tc>
      </w:tr>
      <w:tr w14:paraId="36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08525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644" w:type="dxa"/>
            <w:noWrap w:val="0"/>
            <w:vAlign w:val="center"/>
          </w:tcPr>
          <w:p w14:paraId="1044CEB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孔口管</w:t>
            </w:r>
          </w:p>
        </w:tc>
        <w:tc>
          <w:tcPr>
            <w:tcW w:w="837" w:type="dxa"/>
            <w:noWrap w:val="0"/>
            <w:vAlign w:val="center"/>
          </w:tcPr>
          <w:p w14:paraId="70E839C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1601C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7636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5D7B8F">
            <w:pPr>
              <w:pageBreakBefore w:val="0"/>
              <w:kinsoku/>
              <w:wordWrap w:val="0"/>
              <w:bidi w:val="0"/>
              <w:spacing w:line="340" w:lineRule="atLeast"/>
              <w:jc w:val="center"/>
              <w:rPr>
                <w:rFonts w:hint="default" w:ascii="Times New Roman" w:hAnsi="Times New Roman" w:cs="Times New Roman"/>
                <w:szCs w:val="21"/>
                <w:highlight w:val="none"/>
              </w:rPr>
            </w:pPr>
          </w:p>
        </w:tc>
      </w:tr>
      <w:tr w14:paraId="330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38283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-a-4</w:t>
            </w:r>
          </w:p>
        </w:tc>
        <w:tc>
          <w:tcPr>
            <w:tcW w:w="4644" w:type="dxa"/>
            <w:noWrap w:val="0"/>
            <w:vAlign w:val="center"/>
          </w:tcPr>
          <w:p w14:paraId="414831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套拱钢架</w:t>
            </w:r>
          </w:p>
        </w:tc>
        <w:tc>
          <w:tcPr>
            <w:tcW w:w="837" w:type="dxa"/>
            <w:noWrap w:val="0"/>
            <w:vAlign w:val="center"/>
          </w:tcPr>
          <w:p w14:paraId="45922D4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5FD0C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DF1EA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01A1BF">
            <w:pPr>
              <w:pageBreakBefore w:val="0"/>
              <w:kinsoku/>
              <w:wordWrap w:val="0"/>
              <w:bidi w:val="0"/>
              <w:spacing w:line="340" w:lineRule="atLeast"/>
              <w:jc w:val="center"/>
              <w:rPr>
                <w:rFonts w:hint="default" w:ascii="Times New Roman" w:hAnsi="Times New Roman" w:cs="Times New Roman"/>
                <w:szCs w:val="21"/>
                <w:highlight w:val="none"/>
              </w:rPr>
            </w:pPr>
          </w:p>
        </w:tc>
      </w:tr>
      <w:tr w14:paraId="5A1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462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-a-5</w:t>
            </w:r>
          </w:p>
        </w:tc>
        <w:tc>
          <w:tcPr>
            <w:tcW w:w="4644" w:type="dxa"/>
            <w:noWrap w:val="0"/>
            <w:vAlign w:val="center"/>
          </w:tcPr>
          <w:p w14:paraId="038142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2FECCCA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EDC39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ED35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36CD05">
            <w:pPr>
              <w:pageBreakBefore w:val="0"/>
              <w:kinsoku/>
              <w:wordWrap w:val="0"/>
              <w:bidi w:val="0"/>
              <w:spacing w:line="340" w:lineRule="atLeast"/>
              <w:jc w:val="center"/>
              <w:rPr>
                <w:rFonts w:hint="default" w:ascii="Times New Roman" w:hAnsi="Times New Roman" w:cs="Times New Roman"/>
                <w:szCs w:val="21"/>
                <w:highlight w:val="none"/>
              </w:rPr>
            </w:pPr>
          </w:p>
        </w:tc>
      </w:tr>
      <w:tr w14:paraId="7F61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83C27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-a-6</w:t>
            </w:r>
          </w:p>
        </w:tc>
        <w:tc>
          <w:tcPr>
            <w:tcW w:w="4644" w:type="dxa"/>
            <w:noWrap w:val="0"/>
            <w:vAlign w:val="center"/>
          </w:tcPr>
          <w:p w14:paraId="53AE91B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w:t>
            </w:r>
          </w:p>
        </w:tc>
        <w:tc>
          <w:tcPr>
            <w:tcW w:w="837" w:type="dxa"/>
            <w:noWrap w:val="0"/>
            <w:vAlign w:val="center"/>
          </w:tcPr>
          <w:p w14:paraId="19F6C34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C08EB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1AB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36F4F1">
            <w:pPr>
              <w:pageBreakBefore w:val="0"/>
              <w:kinsoku/>
              <w:wordWrap w:val="0"/>
              <w:bidi w:val="0"/>
              <w:spacing w:line="340" w:lineRule="atLeast"/>
              <w:jc w:val="center"/>
              <w:rPr>
                <w:rFonts w:hint="default" w:ascii="Times New Roman" w:hAnsi="Times New Roman" w:cs="Times New Roman"/>
                <w:szCs w:val="21"/>
                <w:highlight w:val="none"/>
              </w:rPr>
            </w:pPr>
          </w:p>
        </w:tc>
      </w:tr>
      <w:tr w14:paraId="1E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6D66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90E95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注浆小导管</w:t>
            </w:r>
          </w:p>
        </w:tc>
        <w:tc>
          <w:tcPr>
            <w:tcW w:w="837" w:type="dxa"/>
            <w:noWrap w:val="0"/>
            <w:vAlign w:val="center"/>
          </w:tcPr>
          <w:p w14:paraId="063B62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53E86B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B86A5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9B9927">
            <w:pPr>
              <w:pageBreakBefore w:val="0"/>
              <w:kinsoku/>
              <w:wordWrap w:val="0"/>
              <w:bidi w:val="0"/>
              <w:spacing w:line="340" w:lineRule="atLeast"/>
              <w:jc w:val="center"/>
              <w:rPr>
                <w:rFonts w:hint="default" w:ascii="Times New Roman" w:hAnsi="Times New Roman" w:cs="Times New Roman"/>
                <w:szCs w:val="21"/>
                <w:highlight w:val="none"/>
              </w:rPr>
            </w:pPr>
          </w:p>
        </w:tc>
      </w:tr>
      <w:tr w14:paraId="62B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727B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70BF32D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锚杆支护</w:t>
            </w:r>
          </w:p>
        </w:tc>
        <w:tc>
          <w:tcPr>
            <w:tcW w:w="837" w:type="dxa"/>
            <w:noWrap w:val="0"/>
            <w:vAlign w:val="center"/>
          </w:tcPr>
          <w:p w14:paraId="07BAB19C">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FB085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68EB02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859A8">
            <w:pPr>
              <w:pageBreakBefore w:val="0"/>
              <w:kinsoku/>
              <w:wordWrap w:val="0"/>
              <w:bidi w:val="0"/>
              <w:spacing w:line="340" w:lineRule="atLeast"/>
              <w:jc w:val="center"/>
              <w:rPr>
                <w:rFonts w:hint="default" w:ascii="Times New Roman" w:hAnsi="Times New Roman" w:cs="Times New Roman"/>
                <w:szCs w:val="21"/>
                <w:highlight w:val="none"/>
              </w:rPr>
            </w:pPr>
          </w:p>
        </w:tc>
      </w:tr>
      <w:tr w14:paraId="62C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784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644" w:type="dxa"/>
            <w:noWrap w:val="0"/>
            <w:vAlign w:val="center"/>
          </w:tcPr>
          <w:p w14:paraId="11CCB6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砂浆锚杆</w:t>
            </w:r>
          </w:p>
        </w:tc>
        <w:tc>
          <w:tcPr>
            <w:tcW w:w="837" w:type="dxa"/>
            <w:noWrap w:val="0"/>
            <w:vAlign w:val="center"/>
          </w:tcPr>
          <w:p w14:paraId="71834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274F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C005E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AA47D">
            <w:pPr>
              <w:pageBreakBefore w:val="0"/>
              <w:kinsoku/>
              <w:wordWrap w:val="0"/>
              <w:bidi w:val="0"/>
              <w:spacing w:line="340" w:lineRule="atLeast"/>
              <w:jc w:val="center"/>
              <w:rPr>
                <w:rFonts w:hint="default" w:ascii="Times New Roman" w:hAnsi="Times New Roman" w:cs="Times New Roman"/>
                <w:szCs w:val="21"/>
                <w:highlight w:val="none"/>
              </w:rPr>
            </w:pPr>
          </w:p>
        </w:tc>
      </w:tr>
      <w:tr w14:paraId="26CC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F98F6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644" w:type="dxa"/>
            <w:noWrap w:val="0"/>
            <w:vAlign w:val="center"/>
          </w:tcPr>
          <w:p w14:paraId="3492053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药包锚杆</w:t>
            </w:r>
          </w:p>
        </w:tc>
        <w:tc>
          <w:tcPr>
            <w:tcW w:w="837" w:type="dxa"/>
            <w:noWrap w:val="0"/>
            <w:vAlign w:val="center"/>
          </w:tcPr>
          <w:p w14:paraId="3465E7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94365F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626FB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1A0C7">
            <w:pPr>
              <w:pageBreakBefore w:val="0"/>
              <w:kinsoku/>
              <w:wordWrap w:val="0"/>
              <w:bidi w:val="0"/>
              <w:spacing w:line="340" w:lineRule="atLeast"/>
              <w:jc w:val="center"/>
              <w:rPr>
                <w:rFonts w:hint="default" w:ascii="Times New Roman" w:hAnsi="Times New Roman" w:cs="Times New Roman"/>
                <w:szCs w:val="21"/>
                <w:highlight w:val="none"/>
              </w:rPr>
            </w:pPr>
          </w:p>
        </w:tc>
      </w:tr>
      <w:tr w14:paraId="13B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4646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644" w:type="dxa"/>
            <w:noWrap w:val="0"/>
            <w:vAlign w:val="center"/>
          </w:tcPr>
          <w:p w14:paraId="6426CE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中空注浆锚杆</w:t>
            </w:r>
          </w:p>
        </w:tc>
        <w:tc>
          <w:tcPr>
            <w:tcW w:w="837" w:type="dxa"/>
            <w:noWrap w:val="0"/>
            <w:vAlign w:val="center"/>
          </w:tcPr>
          <w:p w14:paraId="31C9AA2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233E4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04D72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D88BE9">
            <w:pPr>
              <w:pageBreakBefore w:val="0"/>
              <w:kinsoku/>
              <w:wordWrap w:val="0"/>
              <w:bidi w:val="0"/>
              <w:spacing w:line="340" w:lineRule="atLeast"/>
              <w:jc w:val="center"/>
              <w:rPr>
                <w:rFonts w:hint="default" w:ascii="Times New Roman" w:hAnsi="Times New Roman" w:cs="Times New Roman"/>
                <w:szCs w:val="21"/>
                <w:highlight w:val="none"/>
              </w:rPr>
            </w:pPr>
          </w:p>
        </w:tc>
      </w:tr>
      <w:tr w14:paraId="331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14EB3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644" w:type="dxa"/>
            <w:noWrap w:val="0"/>
            <w:vAlign w:val="center"/>
          </w:tcPr>
          <w:p w14:paraId="7D4C96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自进式锚杆</w:t>
            </w:r>
          </w:p>
        </w:tc>
        <w:tc>
          <w:tcPr>
            <w:tcW w:w="837" w:type="dxa"/>
            <w:noWrap w:val="0"/>
            <w:vAlign w:val="center"/>
          </w:tcPr>
          <w:p w14:paraId="04C812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BFA6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2043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57A13">
            <w:pPr>
              <w:pageBreakBefore w:val="0"/>
              <w:kinsoku/>
              <w:wordWrap w:val="0"/>
              <w:bidi w:val="0"/>
              <w:spacing w:line="340" w:lineRule="atLeast"/>
              <w:jc w:val="center"/>
              <w:rPr>
                <w:rFonts w:hint="default" w:ascii="Times New Roman" w:hAnsi="Times New Roman" w:cs="Times New Roman"/>
                <w:szCs w:val="21"/>
                <w:highlight w:val="none"/>
              </w:rPr>
            </w:pPr>
          </w:p>
        </w:tc>
      </w:tr>
      <w:tr w14:paraId="7488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87B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644" w:type="dxa"/>
            <w:noWrap w:val="0"/>
            <w:vAlign w:val="center"/>
          </w:tcPr>
          <w:p w14:paraId="17A252B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预应力锚杆</w:t>
            </w:r>
          </w:p>
        </w:tc>
        <w:tc>
          <w:tcPr>
            <w:tcW w:w="837" w:type="dxa"/>
            <w:noWrap w:val="0"/>
            <w:vAlign w:val="center"/>
          </w:tcPr>
          <w:p w14:paraId="5900722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D4D51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4FD6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769403">
            <w:pPr>
              <w:pageBreakBefore w:val="0"/>
              <w:kinsoku/>
              <w:wordWrap w:val="0"/>
              <w:bidi w:val="0"/>
              <w:spacing w:line="340" w:lineRule="atLeast"/>
              <w:jc w:val="center"/>
              <w:rPr>
                <w:rFonts w:hint="default" w:ascii="Times New Roman" w:hAnsi="Times New Roman" w:cs="Times New Roman"/>
                <w:szCs w:val="21"/>
                <w:highlight w:val="none"/>
              </w:rPr>
            </w:pPr>
          </w:p>
        </w:tc>
      </w:tr>
      <w:tr w14:paraId="5F5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40585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6B9BAD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喷射混凝土支护</w:t>
            </w:r>
          </w:p>
        </w:tc>
        <w:tc>
          <w:tcPr>
            <w:tcW w:w="837" w:type="dxa"/>
            <w:noWrap w:val="0"/>
            <w:vAlign w:val="center"/>
          </w:tcPr>
          <w:p w14:paraId="698FF75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D380C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0260BC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2BA24">
            <w:pPr>
              <w:pageBreakBefore w:val="0"/>
              <w:kinsoku/>
              <w:wordWrap w:val="0"/>
              <w:bidi w:val="0"/>
              <w:spacing w:line="340" w:lineRule="atLeast"/>
              <w:jc w:val="center"/>
              <w:rPr>
                <w:rFonts w:hint="default" w:ascii="Times New Roman" w:hAnsi="Times New Roman" w:cs="Times New Roman"/>
                <w:szCs w:val="21"/>
                <w:highlight w:val="none"/>
              </w:rPr>
            </w:pPr>
          </w:p>
        </w:tc>
      </w:tr>
      <w:tr w14:paraId="242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591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644" w:type="dxa"/>
            <w:noWrap w:val="0"/>
            <w:vAlign w:val="center"/>
          </w:tcPr>
          <w:p w14:paraId="5FC6C9C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837" w:type="dxa"/>
            <w:noWrap w:val="0"/>
            <w:vAlign w:val="center"/>
          </w:tcPr>
          <w:p w14:paraId="490C66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DC316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842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718309">
            <w:pPr>
              <w:pageBreakBefore w:val="0"/>
              <w:kinsoku/>
              <w:wordWrap w:val="0"/>
              <w:bidi w:val="0"/>
              <w:spacing w:line="340" w:lineRule="atLeast"/>
              <w:jc w:val="center"/>
              <w:rPr>
                <w:rFonts w:hint="default" w:ascii="Times New Roman" w:hAnsi="Times New Roman" w:cs="Times New Roman"/>
                <w:szCs w:val="21"/>
                <w:highlight w:val="none"/>
              </w:rPr>
            </w:pPr>
          </w:p>
        </w:tc>
      </w:tr>
      <w:tr w14:paraId="44C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5C1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644" w:type="dxa"/>
            <w:noWrap w:val="0"/>
            <w:vAlign w:val="center"/>
          </w:tcPr>
          <w:p w14:paraId="71D31D5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837" w:type="dxa"/>
            <w:noWrap w:val="0"/>
            <w:vAlign w:val="center"/>
          </w:tcPr>
          <w:p w14:paraId="38A1E4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8A772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007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D42225">
            <w:pPr>
              <w:pageBreakBefore w:val="0"/>
              <w:kinsoku/>
              <w:wordWrap w:val="0"/>
              <w:bidi w:val="0"/>
              <w:spacing w:line="340" w:lineRule="atLeast"/>
              <w:jc w:val="center"/>
              <w:rPr>
                <w:rFonts w:hint="default" w:ascii="Times New Roman" w:hAnsi="Times New Roman" w:cs="Times New Roman"/>
                <w:szCs w:val="21"/>
                <w:highlight w:val="none"/>
              </w:rPr>
            </w:pPr>
          </w:p>
        </w:tc>
      </w:tr>
      <w:tr w14:paraId="077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FF988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5C238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钢支架支护</w:t>
            </w:r>
          </w:p>
        </w:tc>
        <w:tc>
          <w:tcPr>
            <w:tcW w:w="837" w:type="dxa"/>
            <w:noWrap w:val="0"/>
            <w:vAlign w:val="center"/>
          </w:tcPr>
          <w:p w14:paraId="3F12B07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572DB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9A7C7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0D5A8B">
            <w:pPr>
              <w:pageBreakBefore w:val="0"/>
              <w:kinsoku/>
              <w:wordWrap w:val="0"/>
              <w:bidi w:val="0"/>
              <w:spacing w:line="340" w:lineRule="atLeast"/>
              <w:jc w:val="center"/>
              <w:rPr>
                <w:rFonts w:hint="default" w:ascii="Times New Roman" w:hAnsi="Times New Roman" w:cs="Times New Roman"/>
                <w:szCs w:val="21"/>
                <w:highlight w:val="none"/>
              </w:rPr>
            </w:pPr>
          </w:p>
        </w:tc>
      </w:tr>
      <w:tr w14:paraId="40C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59D0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644" w:type="dxa"/>
            <w:noWrap w:val="0"/>
            <w:vAlign w:val="center"/>
          </w:tcPr>
          <w:p w14:paraId="005741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型钢支架</w:t>
            </w:r>
          </w:p>
        </w:tc>
        <w:tc>
          <w:tcPr>
            <w:tcW w:w="837" w:type="dxa"/>
            <w:noWrap w:val="0"/>
            <w:vAlign w:val="center"/>
          </w:tcPr>
          <w:p w14:paraId="71D1219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F8250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CA9F0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48FB26">
            <w:pPr>
              <w:pageBreakBefore w:val="0"/>
              <w:kinsoku/>
              <w:wordWrap w:val="0"/>
              <w:bidi w:val="0"/>
              <w:spacing w:line="340" w:lineRule="atLeast"/>
              <w:jc w:val="center"/>
              <w:rPr>
                <w:rFonts w:hint="default" w:ascii="Times New Roman" w:hAnsi="Times New Roman" w:cs="Times New Roman"/>
                <w:szCs w:val="21"/>
                <w:highlight w:val="none"/>
              </w:rPr>
            </w:pPr>
          </w:p>
        </w:tc>
      </w:tr>
      <w:tr w14:paraId="5A0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83A3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644" w:type="dxa"/>
            <w:noWrap w:val="0"/>
            <w:vAlign w:val="center"/>
          </w:tcPr>
          <w:p w14:paraId="5E807C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钢筋格栅</w:t>
            </w:r>
          </w:p>
        </w:tc>
        <w:tc>
          <w:tcPr>
            <w:tcW w:w="837" w:type="dxa"/>
            <w:noWrap w:val="0"/>
            <w:vAlign w:val="center"/>
          </w:tcPr>
          <w:p w14:paraId="5095D93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6717A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1E6B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5837B">
            <w:pPr>
              <w:pageBreakBefore w:val="0"/>
              <w:kinsoku/>
              <w:wordWrap w:val="0"/>
              <w:bidi w:val="0"/>
              <w:spacing w:line="340" w:lineRule="atLeast"/>
              <w:jc w:val="center"/>
              <w:rPr>
                <w:rFonts w:hint="default" w:ascii="Times New Roman" w:hAnsi="Times New Roman" w:cs="Times New Roman"/>
                <w:szCs w:val="21"/>
                <w:highlight w:val="none"/>
              </w:rPr>
            </w:pPr>
          </w:p>
        </w:tc>
      </w:tr>
      <w:tr w14:paraId="4A7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FAD43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w:t>
            </w:r>
          </w:p>
        </w:tc>
        <w:tc>
          <w:tcPr>
            <w:tcW w:w="4644" w:type="dxa"/>
            <w:noWrap w:val="0"/>
            <w:vAlign w:val="center"/>
          </w:tcPr>
          <w:p w14:paraId="19C5EAA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2B604A0F">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608B6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A014CA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3F1D52">
            <w:pPr>
              <w:pageBreakBefore w:val="0"/>
              <w:kinsoku/>
              <w:wordWrap w:val="0"/>
              <w:bidi w:val="0"/>
              <w:spacing w:line="340" w:lineRule="atLeast"/>
              <w:jc w:val="center"/>
              <w:rPr>
                <w:rFonts w:hint="default" w:ascii="Times New Roman" w:hAnsi="Times New Roman" w:cs="Times New Roman"/>
                <w:szCs w:val="21"/>
                <w:highlight w:val="none"/>
              </w:rPr>
            </w:pPr>
          </w:p>
        </w:tc>
      </w:tr>
      <w:tr w14:paraId="53B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66EAC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504-1</w:t>
            </w:r>
          </w:p>
        </w:tc>
        <w:tc>
          <w:tcPr>
            <w:tcW w:w="4644" w:type="dxa"/>
            <w:noWrap w:val="0"/>
            <w:vAlign w:val="center"/>
          </w:tcPr>
          <w:p w14:paraId="4892C26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43FB0C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01FA91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8856F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CDB52">
            <w:pPr>
              <w:pageBreakBefore w:val="0"/>
              <w:kinsoku/>
              <w:wordWrap w:val="0"/>
              <w:bidi w:val="0"/>
              <w:spacing w:line="340" w:lineRule="atLeast"/>
              <w:jc w:val="center"/>
              <w:rPr>
                <w:rFonts w:hint="default" w:ascii="Times New Roman" w:hAnsi="Times New Roman" w:cs="Times New Roman"/>
                <w:szCs w:val="21"/>
                <w:highlight w:val="none"/>
              </w:rPr>
            </w:pPr>
          </w:p>
        </w:tc>
      </w:tr>
      <w:tr w14:paraId="0B0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2C4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6EDEDD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4FC5714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2AD4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C0C65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E7E7D">
            <w:pPr>
              <w:pageBreakBefore w:val="0"/>
              <w:kinsoku/>
              <w:wordWrap w:val="0"/>
              <w:bidi w:val="0"/>
              <w:spacing w:line="340" w:lineRule="atLeast"/>
              <w:jc w:val="center"/>
              <w:rPr>
                <w:rFonts w:hint="default" w:ascii="Times New Roman" w:hAnsi="Times New Roman" w:cs="Times New Roman"/>
                <w:szCs w:val="21"/>
                <w:highlight w:val="none"/>
              </w:rPr>
            </w:pPr>
          </w:p>
        </w:tc>
      </w:tr>
      <w:tr w14:paraId="15F9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4AA4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51061A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7DF644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6081F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606EA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846EDA">
            <w:pPr>
              <w:pageBreakBefore w:val="0"/>
              <w:kinsoku/>
              <w:wordWrap w:val="0"/>
              <w:bidi w:val="0"/>
              <w:spacing w:line="340" w:lineRule="atLeast"/>
              <w:jc w:val="center"/>
              <w:rPr>
                <w:rFonts w:hint="default" w:ascii="Times New Roman" w:hAnsi="Times New Roman" w:cs="Times New Roman"/>
                <w:szCs w:val="21"/>
                <w:highlight w:val="none"/>
              </w:rPr>
            </w:pPr>
          </w:p>
        </w:tc>
      </w:tr>
      <w:tr w14:paraId="171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BBEE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504-2</w:t>
            </w:r>
          </w:p>
        </w:tc>
        <w:tc>
          <w:tcPr>
            <w:tcW w:w="4644" w:type="dxa"/>
            <w:noWrap w:val="0"/>
            <w:vAlign w:val="center"/>
          </w:tcPr>
          <w:p w14:paraId="39CA3E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仰拱、铺底混凝土</w:t>
            </w:r>
          </w:p>
        </w:tc>
        <w:tc>
          <w:tcPr>
            <w:tcW w:w="837" w:type="dxa"/>
            <w:noWrap w:val="0"/>
            <w:vAlign w:val="center"/>
          </w:tcPr>
          <w:p w14:paraId="5B17EF00">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1A63B3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CF1A7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5AF5C">
            <w:pPr>
              <w:pageBreakBefore w:val="0"/>
              <w:kinsoku/>
              <w:wordWrap w:val="0"/>
              <w:bidi w:val="0"/>
              <w:spacing w:line="340" w:lineRule="atLeast"/>
              <w:jc w:val="center"/>
              <w:rPr>
                <w:rFonts w:hint="default" w:ascii="Times New Roman" w:hAnsi="Times New Roman" w:cs="Times New Roman"/>
                <w:szCs w:val="21"/>
                <w:highlight w:val="none"/>
              </w:rPr>
            </w:pPr>
          </w:p>
        </w:tc>
      </w:tr>
      <w:tr w14:paraId="642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C8CBA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4D7ECA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w:t>
            </w:r>
          </w:p>
        </w:tc>
        <w:tc>
          <w:tcPr>
            <w:tcW w:w="837" w:type="dxa"/>
            <w:noWrap w:val="0"/>
            <w:vAlign w:val="center"/>
          </w:tcPr>
          <w:p w14:paraId="74EE5B1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C17AAA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C269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AAFE3">
            <w:pPr>
              <w:pageBreakBefore w:val="0"/>
              <w:kinsoku/>
              <w:wordWrap w:val="0"/>
              <w:bidi w:val="0"/>
              <w:spacing w:line="340" w:lineRule="atLeast"/>
              <w:jc w:val="center"/>
              <w:rPr>
                <w:rFonts w:hint="default" w:ascii="Times New Roman" w:hAnsi="Times New Roman" w:cs="Times New Roman"/>
                <w:szCs w:val="21"/>
                <w:highlight w:val="none"/>
              </w:rPr>
            </w:pPr>
          </w:p>
        </w:tc>
      </w:tr>
      <w:tr w14:paraId="7102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4CFD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1E4E0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现浇混凝土仰拱回填</w:t>
            </w:r>
          </w:p>
        </w:tc>
        <w:tc>
          <w:tcPr>
            <w:tcW w:w="837" w:type="dxa"/>
            <w:noWrap w:val="0"/>
            <w:vAlign w:val="center"/>
          </w:tcPr>
          <w:p w14:paraId="53ABC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89C93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9B0F5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3B0C5">
            <w:pPr>
              <w:pageBreakBefore w:val="0"/>
              <w:kinsoku/>
              <w:wordWrap w:val="0"/>
              <w:bidi w:val="0"/>
              <w:spacing w:line="340" w:lineRule="atLeast"/>
              <w:jc w:val="center"/>
              <w:rPr>
                <w:rFonts w:hint="default" w:ascii="Times New Roman" w:hAnsi="Times New Roman" w:cs="Times New Roman"/>
                <w:szCs w:val="21"/>
                <w:highlight w:val="none"/>
              </w:rPr>
            </w:pPr>
          </w:p>
        </w:tc>
      </w:tr>
      <w:tr w14:paraId="7EA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5363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504-3</w:t>
            </w:r>
          </w:p>
        </w:tc>
        <w:tc>
          <w:tcPr>
            <w:tcW w:w="4644" w:type="dxa"/>
            <w:noWrap w:val="0"/>
            <w:vAlign w:val="center"/>
          </w:tcPr>
          <w:p w14:paraId="01280B1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边沟、电缆沟混凝土</w:t>
            </w:r>
          </w:p>
        </w:tc>
        <w:tc>
          <w:tcPr>
            <w:tcW w:w="837" w:type="dxa"/>
            <w:noWrap w:val="0"/>
            <w:vAlign w:val="center"/>
          </w:tcPr>
          <w:p w14:paraId="2A987DD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E85C4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5F50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EFB8C8">
            <w:pPr>
              <w:pageBreakBefore w:val="0"/>
              <w:kinsoku/>
              <w:wordWrap w:val="0"/>
              <w:bidi w:val="0"/>
              <w:spacing w:line="340" w:lineRule="atLeast"/>
              <w:jc w:val="center"/>
              <w:rPr>
                <w:rFonts w:hint="default" w:ascii="Times New Roman" w:hAnsi="Times New Roman" w:cs="Times New Roman"/>
                <w:szCs w:val="21"/>
                <w:highlight w:val="none"/>
              </w:rPr>
            </w:pPr>
          </w:p>
        </w:tc>
      </w:tr>
      <w:tr w14:paraId="0D5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22C0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2FDB28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71BE27C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98978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DDA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0BCF6E">
            <w:pPr>
              <w:pageBreakBefore w:val="0"/>
              <w:kinsoku/>
              <w:wordWrap w:val="0"/>
              <w:bidi w:val="0"/>
              <w:spacing w:line="340" w:lineRule="atLeast"/>
              <w:jc w:val="center"/>
              <w:rPr>
                <w:rFonts w:hint="default" w:ascii="Times New Roman" w:hAnsi="Times New Roman" w:cs="Times New Roman"/>
                <w:szCs w:val="21"/>
                <w:highlight w:val="none"/>
              </w:rPr>
            </w:pPr>
          </w:p>
        </w:tc>
      </w:tr>
      <w:tr w14:paraId="760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CC18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AB2C3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5F15D6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CBE180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1CDEDC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2BCEDF">
            <w:pPr>
              <w:pageBreakBefore w:val="0"/>
              <w:kinsoku/>
              <w:wordWrap w:val="0"/>
              <w:bidi w:val="0"/>
              <w:spacing w:line="340" w:lineRule="atLeast"/>
              <w:jc w:val="center"/>
              <w:rPr>
                <w:rFonts w:hint="default" w:ascii="Times New Roman" w:hAnsi="Times New Roman" w:cs="Times New Roman"/>
                <w:szCs w:val="21"/>
                <w:highlight w:val="none"/>
              </w:rPr>
            </w:pPr>
          </w:p>
        </w:tc>
      </w:tr>
      <w:tr w14:paraId="44F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537D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486C18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69EEB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500B0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3A19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29DE47">
            <w:pPr>
              <w:pageBreakBefore w:val="0"/>
              <w:kinsoku/>
              <w:wordWrap w:val="0"/>
              <w:bidi w:val="0"/>
              <w:spacing w:line="340" w:lineRule="atLeast"/>
              <w:jc w:val="center"/>
              <w:rPr>
                <w:rFonts w:hint="default" w:ascii="Times New Roman" w:hAnsi="Times New Roman" w:cs="Times New Roman"/>
                <w:szCs w:val="21"/>
                <w:highlight w:val="none"/>
              </w:rPr>
            </w:pPr>
          </w:p>
        </w:tc>
      </w:tr>
      <w:tr w14:paraId="175E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0458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8D36D4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705043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95203D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B81C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3B52C">
            <w:pPr>
              <w:pageBreakBefore w:val="0"/>
              <w:kinsoku/>
              <w:wordWrap w:val="0"/>
              <w:bidi w:val="0"/>
              <w:spacing w:line="340" w:lineRule="atLeast"/>
              <w:jc w:val="center"/>
              <w:rPr>
                <w:rFonts w:hint="default" w:ascii="Times New Roman" w:hAnsi="Times New Roman" w:cs="Times New Roman"/>
                <w:szCs w:val="21"/>
                <w:highlight w:val="none"/>
              </w:rPr>
            </w:pPr>
          </w:p>
        </w:tc>
      </w:tr>
      <w:tr w14:paraId="2B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8765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85402C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铸铁盖板</w:t>
            </w:r>
          </w:p>
        </w:tc>
        <w:tc>
          <w:tcPr>
            <w:tcW w:w="837" w:type="dxa"/>
            <w:noWrap w:val="0"/>
            <w:vAlign w:val="center"/>
          </w:tcPr>
          <w:p w14:paraId="7A43C77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422C6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D8A8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1EDD3">
            <w:pPr>
              <w:pageBreakBefore w:val="0"/>
              <w:kinsoku/>
              <w:wordWrap w:val="0"/>
              <w:bidi w:val="0"/>
              <w:spacing w:line="340" w:lineRule="atLeast"/>
              <w:jc w:val="center"/>
              <w:rPr>
                <w:rFonts w:hint="default" w:ascii="Times New Roman" w:hAnsi="Times New Roman" w:cs="Times New Roman"/>
                <w:szCs w:val="21"/>
                <w:highlight w:val="none"/>
              </w:rPr>
            </w:pPr>
          </w:p>
        </w:tc>
      </w:tr>
      <w:tr w14:paraId="571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E39F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504-4</w:t>
            </w:r>
          </w:p>
        </w:tc>
        <w:tc>
          <w:tcPr>
            <w:tcW w:w="4644" w:type="dxa"/>
            <w:noWrap w:val="0"/>
            <w:vAlign w:val="center"/>
          </w:tcPr>
          <w:p w14:paraId="589CC52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洞室门</w:t>
            </w:r>
          </w:p>
        </w:tc>
        <w:tc>
          <w:tcPr>
            <w:tcW w:w="837" w:type="dxa"/>
            <w:noWrap w:val="0"/>
            <w:vAlign w:val="center"/>
          </w:tcPr>
          <w:p w14:paraId="2932E89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8A7D5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59DC8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43A7C">
            <w:pPr>
              <w:pageBreakBefore w:val="0"/>
              <w:kinsoku/>
              <w:wordWrap w:val="0"/>
              <w:bidi w:val="0"/>
              <w:spacing w:line="340" w:lineRule="atLeast"/>
              <w:jc w:val="center"/>
              <w:rPr>
                <w:rFonts w:hint="default" w:ascii="Times New Roman" w:hAnsi="Times New Roman" w:cs="Times New Roman"/>
                <w:szCs w:val="21"/>
                <w:highlight w:val="none"/>
              </w:rPr>
            </w:pPr>
          </w:p>
        </w:tc>
      </w:tr>
      <w:tr w14:paraId="69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957B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504-5</w:t>
            </w:r>
          </w:p>
        </w:tc>
        <w:tc>
          <w:tcPr>
            <w:tcW w:w="4644" w:type="dxa"/>
            <w:noWrap w:val="0"/>
            <w:vAlign w:val="center"/>
          </w:tcPr>
          <w:p w14:paraId="0EA5CC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洞内路面</w:t>
            </w:r>
          </w:p>
        </w:tc>
        <w:tc>
          <w:tcPr>
            <w:tcW w:w="837" w:type="dxa"/>
            <w:noWrap w:val="0"/>
            <w:vAlign w:val="center"/>
          </w:tcPr>
          <w:p w14:paraId="24BD569C">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3FE028C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ED5C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788D35">
            <w:pPr>
              <w:pageBreakBefore w:val="0"/>
              <w:kinsoku/>
              <w:wordWrap w:val="0"/>
              <w:bidi w:val="0"/>
              <w:spacing w:line="340" w:lineRule="atLeast"/>
              <w:jc w:val="center"/>
              <w:rPr>
                <w:rFonts w:hint="default" w:ascii="Times New Roman" w:hAnsi="Times New Roman" w:cs="Times New Roman"/>
                <w:szCs w:val="21"/>
                <w:highlight w:val="none"/>
              </w:rPr>
            </w:pPr>
          </w:p>
        </w:tc>
      </w:tr>
      <w:tr w14:paraId="21E7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7884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B44562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6BFFA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A5F7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DD4D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268AE">
            <w:pPr>
              <w:pageBreakBefore w:val="0"/>
              <w:kinsoku/>
              <w:wordWrap w:val="0"/>
              <w:bidi w:val="0"/>
              <w:spacing w:line="340" w:lineRule="atLeast"/>
              <w:jc w:val="center"/>
              <w:rPr>
                <w:rFonts w:hint="default" w:ascii="Times New Roman" w:hAnsi="Times New Roman" w:cs="Times New Roman"/>
                <w:szCs w:val="21"/>
                <w:highlight w:val="none"/>
              </w:rPr>
            </w:pPr>
          </w:p>
        </w:tc>
      </w:tr>
      <w:tr w14:paraId="7AB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8B7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8031DE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0F0E48F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8C282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8EE38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CBDED">
            <w:pPr>
              <w:pageBreakBefore w:val="0"/>
              <w:kinsoku/>
              <w:wordWrap w:val="0"/>
              <w:bidi w:val="0"/>
              <w:spacing w:line="340" w:lineRule="atLeast"/>
              <w:jc w:val="center"/>
              <w:rPr>
                <w:rFonts w:hint="default" w:ascii="Times New Roman" w:hAnsi="Times New Roman" w:cs="Times New Roman"/>
                <w:szCs w:val="21"/>
                <w:highlight w:val="none"/>
              </w:rPr>
            </w:pPr>
          </w:p>
        </w:tc>
      </w:tr>
      <w:tr w14:paraId="719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6787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w:t>
            </w:r>
          </w:p>
        </w:tc>
        <w:tc>
          <w:tcPr>
            <w:tcW w:w="4644" w:type="dxa"/>
            <w:noWrap w:val="0"/>
            <w:vAlign w:val="center"/>
          </w:tcPr>
          <w:p w14:paraId="4B95333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6913913B">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E725D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F57B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38E0A8">
            <w:pPr>
              <w:pageBreakBefore w:val="0"/>
              <w:kinsoku/>
              <w:wordWrap w:val="0"/>
              <w:bidi w:val="0"/>
              <w:spacing w:line="340" w:lineRule="atLeast"/>
              <w:jc w:val="center"/>
              <w:rPr>
                <w:rFonts w:hint="default" w:ascii="Times New Roman" w:hAnsi="Times New Roman" w:cs="Times New Roman"/>
                <w:szCs w:val="21"/>
                <w:highlight w:val="none"/>
              </w:rPr>
            </w:pPr>
          </w:p>
        </w:tc>
      </w:tr>
      <w:tr w14:paraId="15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3289C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505-1</w:t>
            </w:r>
          </w:p>
        </w:tc>
        <w:tc>
          <w:tcPr>
            <w:tcW w:w="4644" w:type="dxa"/>
            <w:noWrap w:val="0"/>
            <w:vAlign w:val="center"/>
          </w:tcPr>
          <w:p w14:paraId="055287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333DF9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89688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5EEC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9D2259">
            <w:pPr>
              <w:pageBreakBefore w:val="0"/>
              <w:kinsoku/>
              <w:wordWrap w:val="0"/>
              <w:bidi w:val="0"/>
              <w:spacing w:line="340" w:lineRule="atLeast"/>
              <w:jc w:val="center"/>
              <w:rPr>
                <w:rFonts w:hint="default" w:ascii="Times New Roman" w:hAnsi="Times New Roman" w:cs="Times New Roman"/>
                <w:szCs w:val="21"/>
                <w:highlight w:val="none"/>
              </w:rPr>
            </w:pPr>
          </w:p>
        </w:tc>
      </w:tr>
      <w:tr w14:paraId="24A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FCFF9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20B5F9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金属材料</w:t>
            </w:r>
          </w:p>
        </w:tc>
        <w:tc>
          <w:tcPr>
            <w:tcW w:w="837" w:type="dxa"/>
            <w:noWrap w:val="0"/>
            <w:vAlign w:val="center"/>
          </w:tcPr>
          <w:p w14:paraId="4D4F919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014D83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11BDE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B67D36">
            <w:pPr>
              <w:pageBreakBefore w:val="0"/>
              <w:kinsoku/>
              <w:wordWrap w:val="0"/>
              <w:bidi w:val="0"/>
              <w:spacing w:line="340" w:lineRule="atLeast"/>
              <w:jc w:val="center"/>
              <w:rPr>
                <w:rFonts w:hint="default" w:ascii="Times New Roman" w:hAnsi="Times New Roman" w:cs="Times New Roman"/>
                <w:szCs w:val="21"/>
                <w:highlight w:val="none"/>
              </w:rPr>
            </w:pPr>
          </w:p>
        </w:tc>
      </w:tr>
      <w:tr w14:paraId="06C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0A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176A1E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837" w:type="dxa"/>
            <w:noWrap w:val="0"/>
            <w:vAlign w:val="center"/>
          </w:tcPr>
          <w:p w14:paraId="76E74F5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7761D5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9AFED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00BB9">
            <w:pPr>
              <w:pageBreakBefore w:val="0"/>
              <w:kinsoku/>
              <w:wordWrap w:val="0"/>
              <w:bidi w:val="0"/>
              <w:spacing w:line="340" w:lineRule="atLeast"/>
              <w:jc w:val="center"/>
              <w:rPr>
                <w:rFonts w:hint="default" w:ascii="Times New Roman" w:hAnsi="Times New Roman" w:cs="Times New Roman"/>
                <w:szCs w:val="21"/>
                <w:highlight w:val="none"/>
              </w:rPr>
            </w:pPr>
          </w:p>
        </w:tc>
      </w:tr>
      <w:tr w14:paraId="50C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A87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3FAE1B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钢筋混凝土排水管</w:t>
            </w:r>
          </w:p>
        </w:tc>
        <w:tc>
          <w:tcPr>
            <w:tcW w:w="837" w:type="dxa"/>
            <w:noWrap w:val="0"/>
            <w:vAlign w:val="center"/>
          </w:tcPr>
          <w:p w14:paraId="386CB2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31F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40A99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1925E3">
            <w:pPr>
              <w:pageBreakBefore w:val="0"/>
              <w:kinsoku/>
              <w:wordWrap w:val="0"/>
              <w:bidi w:val="0"/>
              <w:spacing w:line="340" w:lineRule="atLeast"/>
              <w:jc w:val="center"/>
              <w:rPr>
                <w:rFonts w:hint="default" w:ascii="Times New Roman" w:hAnsi="Times New Roman" w:cs="Times New Roman"/>
                <w:szCs w:val="21"/>
                <w:highlight w:val="none"/>
              </w:rPr>
            </w:pPr>
          </w:p>
        </w:tc>
      </w:tr>
      <w:tr w14:paraId="0EC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0FB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0660536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PVC排水管</w:t>
            </w:r>
          </w:p>
        </w:tc>
        <w:tc>
          <w:tcPr>
            <w:tcW w:w="837" w:type="dxa"/>
            <w:noWrap w:val="0"/>
            <w:vAlign w:val="center"/>
          </w:tcPr>
          <w:p w14:paraId="046C05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A2E7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2EE1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32DE6">
            <w:pPr>
              <w:pageBreakBefore w:val="0"/>
              <w:kinsoku/>
              <w:wordWrap w:val="0"/>
              <w:bidi w:val="0"/>
              <w:spacing w:line="340" w:lineRule="atLeast"/>
              <w:jc w:val="center"/>
              <w:rPr>
                <w:rFonts w:hint="default" w:ascii="Times New Roman" w:hAnsi="Times New Roman" w:cs="Times New Roman"/>
                <w:szCs w:val="21"/>
                <w:highlight w:val="none"/>
              </w:rPr>
            </w:pPr>
          </w:p>
        </w:tc>
      </w:tr>
      <w:tr w14:paraId="33B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EECA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E4E3B4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U形排水管</w:t>
            </w:r>
          </w:p>
        </w:tc>
        <w:tc>
          <w:tcPr>
            <w:tcW w:w="837" w:type="dxa"/>
            <w:noWrap w:val="0"/>
            <w:vAlign w:val="center"/>
          </w:tcPr>
          <w:p w14:paraId="3CB7CDB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19C9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5D805C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A6CF1D">
            <w:pPr>
              <w:pageBreakBefore w:val="0"/>
              <w:kinsoku/>
              <w:wordWrap w:val="0"/>
              <w:bidi w:val="0"/>
              <w:spacing w:line="340" w:lineRule="atLeast"/>
              <w:jc w:val="center"/>
              <w:rPr>
                <w:rFonts w:hint="default" w:ascii="Times New Roman" w:hAnsi="Times New Roman" w:cs="Times New Roman"/>
                <w:szCs w:val="21"/>
                <w:highlight w:val="none"/>
              </w:rPr>
            </w:pPr>
          </w:p>
        </w:tc>
      </w:tr>
      <w:tr w14:paraId="324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37700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-b-4</w:t>
            </w:r>
          </w:p>
        </w:tc>
        <w:tc>
          <w:tcPr>
            <w:tcW w:w="4644" w:type="dxa"/>
            <w:noWrap w:val="0"/>
            <w:vAlign w:val="center"/>
          </w:tcPr>
          <w:p w14:paraId="2867E4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Ω形排水管</w:t>
            </w:r>
          </w:p>
        </w:tc>
        <w:tc>
          <w:tcPr>
            <w:tcW w:w="837" w:type="dxa"/>
            <w:noWrap w:val="0"/>
            <w:vAlign w:val="center"/>
          </w:tcPr>
          <w:p w14:paraId="59EFE7F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DA884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186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85720B">
            <w:pPr>
              <w:pageBreakBefore w:val="0"/>
              <w:kinsoku/>
              <w:wordWrap w:val="0"/>
              <w:bidi w:val="0"/>
              <w:spacing w:line="340" w:lineRule="atLeast"/>
              <w:jc w:val="center"/>
              <w:rPr>
                <w:rFonts w:hint="default" w:ascii="Times New Roman" w:hAnsi="Times New Roman" w:cs="Times New Roman"/>
                <w:szCs w:val="21"/>
                <w:highlight w:val="none"/>
              </w:rPr>
            </w:pPr>
          </w:p>
        </w:tc>
      </w:tr>
      <w:tr w14:paraId="2D8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5ED27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DA2507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防水板</w:t>
            </w:r>
          </w:p>
        </w:tc>
        <w:tc>
          <w:tcPr>
            <w:tcW w:w="837" w:type="dxa"/>
            <w:noWrap w:val="0"/>
            <w:vAlign w:val="center"/>
          </w:tcPr>
          <w:p w14:paraId="466DD5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709370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3BD3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2B0E3">
            <w:pPr>
              <w:pageBreakBefore w:val="0"/>
              <w:kinsoku/>
              <w:wordWrap w:val="0"/>
              <w:bidi w:val="0"/>
              <w:spacing w:line="340" w:lineRule="atLeast"/>
              <w:jc w:val="center"/>
              <w:rPr>
                <w:rFonts w:hint="default" w:ascii="Times New Roman" w:hAnsi="Times New Roman" w:cs="Times New Roman"/>
                <w:szCs w:val="21"/>
                <w:highlight w:val="none"/>
              </w:rPr>
            </w:pPr>
          </w:p>
        </w:tc>
      </w:tr>
      <w:tr w14:paraId="5F38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15B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E7061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止水带</w:t>
            </w:r>
          </w:p>
        </w:tc>
        <w:tc>
          <w:tcPr>
            <w:tcW w:w="837" w:type="dxa"/>
            <w:noWrap w:val="0"/>
            <w:vAlign w:val="center"/>
          </w:tcPr>
          <w:p w14:paraId="2BC1C6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F72FD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A74CA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BFDD2">
            <w:pPr>
              <w:pageBreakBefore w:val="0"/>
              <w:kinsoku/>
              <w:wordWrap w:val="0"/>
              <w:bidi w:val="0"/>
              <w:spacing w:line="340" w:lineRule="atLeast"/>
              <w:jc w:val="center"/>
              <w:rPr>
                <w:rFonts w:hint="default" w:ascii="Times New Roman" w:hAnsi="Times New Roman" w:cs="Times New Roman"/>
                <w:szCs w:val="21"/>
                <w:highlight w:val="none"/>
              </w:rPr>
            </w:pPr>
          </w:p>
        </w:tc>
      </w:tr>
      <w:tr w14:paraId="67D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BECD6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40DA23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止水条</w:t>
            </w:r>
          </w:p>
        </w:tc>
        <w:tc>
          <w:tcPr>
            <w:tcW w:w="837" w:type="dxa"/>
            <w:noWrap w:val="0"/>
            <w:vAlign w:val="center"/>
          </w:tcPr>
          <w:p w14:paraId="29C875A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B94B4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255602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3C3AD8">
            <w:pPr>
              <w:pageBreakBefore w:val="0"/>
              <w:kinsoku/>
              <w:wordWrap w:val="0"/>
              <w:bidi w:val="0"/>
              <w:spacing w:line="340" w:lineRule="atLeast"/>
              <w:jc w:val="center"/>
              <w:rPr>
                <w:rFonts w:hint="default" w:ascii="Times New Roman" w:hAnsi="Times New Roman" w:cs="Times New Roman"/>
                <w:szCs w:val="21"/>
                <w:highlight w:val="none"/>
              </w:rPr>
            </w:pPr>
          </w:p>
        </w:tc>
      </w:tr>
      <w:tr w14:paraId="3AF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1645E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7D545A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涂料防水层</w:t>
            </w:r>
          </w:p>
        </w:tc>
        <w:tc>
          <w:tcPr>
            <w:tcW w:w="837" w:type="dxa"/>
            <w:noWrap w:val="0"/>
            <w:vAlign w:val="center"/>
          </w:tcPr>
          <w:p w14:paraId="5F9E492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18260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9840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D3E63">
            <w:pPr>
              <w:pageBreakBefore w:val="0"/>
              <w:kinsoku/>
              <w:wordWrap w:val="0"/>
              <w:bidi w:val="0"/>
              <w:spacing w:line="340" w:lineRule="atLeast"/>
              <w:jc w:val="center"/>
              <w:rPr>
                <w:rFonts w:hint="default" w:ascii="Times New Roman" w:hAnsi="Times New Roman" w:cs="Times New Roman"/>
                <w:szCs w:val="21"/>
                <w:highlight w:val="none"/>
              </w:rPr>
            </w:pPr>
          </w:p>
        </w:tc>
      </w:tr>
      <w:tr w14:paraId="766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441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502944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w:t>
            </w:r>
          </w:p>
        </w:tc>
        <w:tc>
          <w:tcPr>
            <w:tcW w:w="837" w:type="dxa"/>
            <w:noWrap w:val="0"/>
            <w:vAlign w:val="center"/>
          </w:tcPr>
          <w:p w14:paraId="18287C66">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10B030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916B0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E370A">
            <w:pPr>
              <w:pageBreakBefore w:val="0"/>
              <w:kinsoku/>
              <w:wordWrap w:val="0"/>
              <w:bidi w:val="0"/>
              <w:spacing w:line="340" w:lineRule="atLeast"/>
              <w:jc w:val="center"/>
              <w:rPr>
                <w:rFonts w:hint="default" w:ascii="Times New Roman" w:hAnsi="Times New Roman" w:cs="Times New Roman"/>
                <w:szCs w:val="21"/>
                <w:highlight w:val="none"/>
              </w:rPr>
            </w:pPr>
          </w:p>
        </w:tc>
      </w:tr>
      <w:tr w14:paraId="181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1203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-g-1</w:t>
            </w:r>
          </w:p>
        </w:tc>
        <w:tc>
          <w:tcPr>
            <w:tcW w:w="4644" w:type="dxa"/>
            <w:noWrap w:val="0"/>
            <w:vAlign w:val="center"/>
          </w:tcPr>
          <w:p w14:paraId="7EA511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w:t>
            </w:r>
          </w:p>
        </w:tc>
        <w:tc>
          <w:tcPr>
            <w:tcW w:w="837" w:type="dxa"/>
            <w:noWrap w:val="0"/>
            <w:vAlign w:val="center"/>
          </w:tcPr>
          <w:p w14:paraId="706BEB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t</w:t>
            </w:r>
          </w:p>
        </w:tc>
        <w:tc>
          <w:tcPr>
            <w:tcW w:w="837" w:type="dxa"/>
            <w:noWrap w:val="0"/>
            <w:vAlign w:val="center"/>
          </w:tcPr>
          <w:p w14:paraId="5012F7F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B6416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09778B">
            <w:pPr>
              <w:pageBreakBefore w:val="0"/>
              <w:kinsoku/>
              <w:wordWrap w:val="0"/>
              <w:bidi w:val="0"/>
              <w:spacing w:line="340" w:lineRule="atLeast"/>
              <w:jc w:val="center"/>
              <w:rPr>
                <w:rFonts w:hint="default" w:ascii="Times New Roman" w:hAnsi="Times New Roman" w:cs="Times New Roman"/>
                <w:szCs w:val="21"/>
                <w:highlight w:val="none"/>
              </w:rPr>
            </w:pPr>
          </w:p>
        </w:tc>
      </w:tr>
      <w:tr w14:paraId="3BA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83A9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-g-2</w:t>
            </w:r>
          </w:p>
        </w:tc>
        <w:tc>
          <w:tcPr>
            <w:tcW w:w="4644" w:type="dxa"/>
            <w:noWrap w:val="0"/>
            <w:vAlign w:val="center"/>
          </w:tcPr>
          <w:p w14:paraId="79E5ED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水玻璃原液</w:t>
            </w:r>
          </w:p>
        </w:tc>
        <w:tc>
          <w:tcPr>
            <w:tcW w:w="837" w:type="dxa"/>
            <w:noWrap w:val="0"/>
            <w:vAlign w:val="center"/>
          </w:tcPr>
          <w:p w14:paraId="7EDC13D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CDC2F1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DBD8E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53FAB">
            <w:pPr>
              <w:pageBreakBefore w:val="0"/>
              <w:kinsoku/>
              <w:wordWrap w:val="0"/>
              <w:bidi w:val="0"/>
              <w:spacing w:line="340" w:lineRule="atLeast"/>
              <w:jc w:val="center"/>
              <w:rPr>
                <w:rFonts w:hint="default" w:ascii="Times New Roman" w:hAnsi="Times New Roman" w:cs="Times New Roman"/>
                <w:szCs w:val="21"/>
                <w:highlight w:val="none"/>
              </w:rPr>
            </w:pPr>
          </w:p>
        </w:tc>
      </w:tr>
      <w:tr w14:paraId="32A0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08DF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505-2</w:t>
            </w:r>
          </w:p>
        </w:tc>
        <w:tc>
          <w:tcPr>
            <w:tcW w:w="4644" w:type="dxa"/>
            <w:noWrap w:val="0"/>
            <w:vAlign w:val="center"/>
          </w:tcPr>
          <w:p w14:paraId="0BFCA602">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w:t>
            </w:r>
          </w:p>
        </w:tc>
        <w:tc>
          <w:tcPr>
            <w:tcW w:w="837" w:type="dxa"/>
            <w:noWrap w:val="0"/>
            <w:vAlign w:val="center"/>
          </w:tcPr>
          <w:p w14:paraId="218E4241">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7D7816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57D8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36759">
            <w:pPr>
              <w:pageBreakBefore w:val="0"/>
              <w:kinsoku/>
              <w:wordWrap w:val="0"/>
              <w:bidi w:val="0"/>
              <w:spacing w:line="340" w:lineRule="atLeast"/>
              <w:jc w:val="center"/>
              <w:rPr>
                <w:rFonts w:hint="default" w:ascii="Times New Roman" w:hAnsi="Times New Roman" w:cs="Times New Roman"/>
                <w:szCs w:val="21"/>
                <w:highlight w:val="none"/>
              </w:rPr>
            </w:pPr>
          </w:p>
        </w:tc>
      </w:tr>
      <w:tr w14:paraId="2F6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4575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C116626">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保温层</w:t>
            </w:r>
          </w:p>
        </w:tc>
        <w:tc>
          <w:tcPr>
            <w:tcW w:w="837" w:type="dxa"/>
            <w:noWrap w:val="0"/>
            <w:vAlign w:val="center"/>
          </w:tcPr>
          <w:p w14:paraId="61537190">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77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ECCF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F7E1CA">
            <w:pPr>
              <w:pageBreakBefore w:val="0"/>
              <w:kinsoku/>
              <w:wordWrap w:val="0"/>
              <w:bidi w:val="0"/>
              <w:spacing w:line="340" w:lineRule="atLeast"/>
              <w:jc w:val="center"/>
              <w:rPr>
                <w:rFonts w:hint="default" w:ascii="Times New Roman" w:hAnsi="Times New Roman" w:cs="Times New Roman"/>
                <w:szCs w:val="21"/>
                <w:highlight w:val="none"/>
              </w:rPr>
            </w:pPr>
          </w:p>
        </w:tc>
      </w:tr>
      <w:tr w14:paraId="188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2951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79789B">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洞口排水保温</w:t>
            </w:r>
          </w:p>
        </w:tc>
        <w:tc>
          <w:tcPr>
            <w:tcW w:w="837" w:type="dxa"/>
            <w:noWrap w:val="0"/>
            <w:vAlign w:val="center"/>
          </w:tcPr>
          <w:p w14:paraId="30B18678">
            <w:pPr>
              <w:pageBreakBefore w:val="0"/>
              <w:widowControl/>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B773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741E0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3D62C8">
            <w:pPr>
              <w:pageBreakBefore w:val="0"/>
              <w:kinsoku/>
              <w:wordWrap w:val="0"/>
              <w:bidi w:val="0"/>
              <w:spacing w:line="340" w:lineRule="atLeast"/>
              <w:jc w:val="center"/>
              <w:rPr>
                <w:rFonts w:hint="default" w:ascii="Times New Roman" w:hAnsi="Times New Roman" w:cs="Times New Roman"/>
                <w:szCs w:val="21"/>
                <w:highlight w:val="none"/>
              </w:rPr>
            </w:pPr>
          </w:p>
        </w:tc>
      </w:tr>
      <w:tr w14:paraId="394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7C1A2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167867E">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洞口排水沟保温层</w:t>
            </w:r>
          </w:p>
        </w:tc>
        <w:tc>
          <w:tcPr>
            <w:tcW w:w="837" w:type="dxa"/>
            <w:noWrap w:val="0"/>
            <w:vAlign w:val="center"/>
          </w:tcPr>
          <w:p w14:paraId="3B9935A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763974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977EE8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7CB3AC">
            <w:pPr>
              <w:pageBreakBefore w:val="0"/>
              <w:kinsoku/>
              <w:wordWrap w:val="0"/>
              <w:bidi w:val="0"/>
              <w:spacing w:line="340" w:lineRule="atLeast"/>
              <w:jc w:val="center"/>
              <w:rPr>
                <w:rFonts w:hint="default" w:ascii="Times New Roman" w:hAnsi="Times New Roman" w:cs="Times New Roman"/>
                <w:szCs w:val="21"/>
                <w:highlight w:val="none"/>
              </w:rPr>
            </w:pPr>
          </w:p>
        </w:tc>
      </w:tr>
      <w:tr w14:paraId="534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86C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32D02F2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保温出水口暗管</w:t>
            </w:r>
          </w:p>
        </w:tc>
        <w:tc>
          <w:tcPr>
            <w:tcW w:w="837" w:type="dxa"/>
            <w:noWrap w:val="0"/>
            <w:vAlign w:val="center"/>
          </w:tcPr>
          <w:p w14:paraId="721098A3">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m </w:t>
            </w:r>
          </w:p>
        </w:tc>
        <w:tc>
          <w:tcPr>
            <w:tcW w:w="837" w:type="dxa"/>
            <w:noWrap w:val="0"/>
            <w:vAlign w:val="center"/>
          </w:tcPr>
          <w:p w14:paraId="152CA3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5D3C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F9C3A2">
            <w:pPr>
              <w:pageBreakBefore w:val="0"/>
              <w:kinsoku/>
              <w:wordWrap w:val="0"/>
              <w:bidi w:val="0"/>
              <w:spacing w:line="340" w:lineRule="atLeast"/>
              <w:jc w:val="center"/>
              <w:rPr>
                <w:rFonts w:hint="default" w:ascii="Times New Roman" w:hAnsi="Times New Roman" w:cs="Times New Roman"/>
                <w:szCs w:val="21"/>
                <w:highlight w:val="none"/>
              </w:rPr>
            </w:pPr>
          </w:p>
        </w:tc>
      </w:tr>
      <w:tr w14:paraId="5B1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3CE40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F13F34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w:t>
            </w:r>
          </w:p>
        </w:tc>
        <w:tc>
          <w:tcPr>
            <w:tcW w:w="837" w:type="dxa"/>
            <w:noWrap w:val="0"/>
            <w:vAlign w:val="center"/>
          </w:tcPr>
          <w:p w14:paraId="676D6C79">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处</w:t>
            </w:r>
          </w:p>
        </w:tc>
        <w:tc>
          <w:tcPr>
            <w:tcW w:w="837" w:type="dxa"/>
            <w:noWrap w:val="0"/>
            <w:vAlign w:val="center"/>
          </w:tcPr>
          <w:p w14:paraId="0AD3FE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4E1480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A6A09C">
            <w:pPr>
              <w:pageBreakBefore w:val="0"/>
              <w:kinsoku/>
              <w:wordWrap w:val="0"/>
              <w:bidi w:val="0"/>
              <w:spacing w:line="340" w:lineRule="atLeast"/>
              <w:jc w:val="center"/>
              <w:rPr>
                <w:rFonts w:hint="default" w:ascii="Times New Roman" w:hAnsi="Times New Roman" w:cs="Times New Roman"/>
                <w:szCs w:val="21"/>
                <w:highlight w:val="none"/>
              </w:rPr>
            </w:pPr>
          </w:p>
        </w:tc>
      </w:tr>
      <w:tr w14:paraId="132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ED5F0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w:t>
            </w:r>
          </w:p>
        </w:tc>
        <w:tc>
          <w:tcPr>
            <w:tcW w:w="4644" w:type="dxa"/>
            <w:noWrap w:val="0"/>
            <w:vAlign w:val="center"/>
          </w:tcPr>
          <w:p w14:paraId="7441F74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洞内防火涂料和装饰工程</w:t>
            </w:r>
          </w:p>
        </w:tc>
        <w:tc>
          <w:tcPr>
            <w:tcW w:w="837" w:type="dxa"/>
            <w:noWrap w:val="0"/>
            <w:vAlign w:val="center"/>
          </w:tcPr>
          <w:p w14:paraId="23F2E738">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605D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ADA1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CDB902">
            <w:pPr>
              <w:pageBreakBefore w:val="0"/>
              <w:kinsoku/>
              <w:wordWrap w:val="0"/>
              <w:bidi w:val="0"/>
              <w:spacing w:line="340" w:lineRule="atLeast"/>
              <w:jc w:val="center"/>
              <w:rPr>
                <w:rFonts w:hint="default" w:ascii="Times New Roman" w:hAnsi="Times New Roman" w:cs="Times New Roman"/>
                <w:szCs w:val="21"/>
                <w:highlight w:val="none"/>
              </w:rPr>
            </w:pPr>
          </w:p>
        </w:tc>
      </w:tr>
      <w:tr w14:paraId="47B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75C95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506-1</w:t>
            </w:r>
          </w:p>
        </w:tc>
        <w:tc>
          <w:tcPr>
            <w:tcW w:w="4644" w:type="dxa"/>
            <w:noWrap w:val="0"/>
            <w:vAlign w:val="center"/>
          </w:tcPr>
          <w:p w14:paraId="610A14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w:t>
            </w:r>
          </w:p>
        </w:tc>
        <w:tc>
          <w:tcPr>
            <w:tcW w:w="837" w:type="dxa"/>
            <w:noWrap w:val="0"/>
            <w:vAlign w:val="center"/>
          </w:tcPr>
          <w:p w14:paraId="2C848A0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C977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13FC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C0CA2">
            <w:pPr>
              <w:pageBreakBefore w:val="0"/>
              <w:kinsoku/>
              <w:wordWrap w:val="0"/>
              <w:bidi w:val="0"/>
              <w:spacing w:line="340" w:lineRule="atLeast"/>
              <w:jc w:val="center"/>
              <w:rPr>
                <w:rFonts w:hint="default" w:ascii="Times New Roman" w:hAnsi="Times New Roman" w:cs="Times New Roman"/>
                <w:szCs w:val="21"/>
                <w:highlight w:val="none"/>
              </w:rPr>
            </w:pPr>
          </w:p>
        </w:tc>
      </w:tr>
      <w:tr w14:paraId="1BC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CA7D1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506-2</w:t>
            </w:r>
          </w:p>
        </w:tc>
        <w:tc>
          <w:tcPr>
            <w:tcW w:w="4644" w:type="dxa"/>
            <w:noWrap w:val="0"/>
            <w:vAlign w:val="center"/>
          </w:tcPr>
          <w:p w14:paraId="3D657A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洞内装饰工程</w:t>
            </w:r>
          </w:p>
        </w:tc>
        <w:tc>
          <w:tcPr>
            <w:tcW w:w="837" w:type="dxa"/>
            <w:noWrap w:val="0"/>
            <w:vAlign w:val="center"/>
          </w:tcPr>
          <w:p w14:paraId="1870ADA4">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1588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9B60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ECBD2A">
            <w:pPr>
              <w:pageBreakBefore w:val="0"/>
              <w:kinsoku/>
              <w:wordWrap w:val="0"/>
              <w:bidi w:val="0"/>
              <w:spacing w:line="340" w:lineRule="atLeast"/>
              <w:jc w:val="center"/>
              <w:rPr>
                <w:rFonts w:hint="default" w:ascii="Times New Roman" w:hAnsi="Times New Roman" w:cs="Times New Roman"/>
                <w:szCs w:val="21"/>
                <w:highlight w:val="none"/>
              </w:rPr>
            </w:pPr>
          </w:p>
        </w:tc>
      </w:tr>
      <w:tr w14:paraId="501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029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5497C5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墙面装饰</w:t>
            </w:r>
          </w:p>
        </w:tc>
        <w:tc>
          <w:tcPr>
            <w:tcW w:w="837" w:type="dxa"/>
            <w:noWrap w:val="0"/>
            <w:vAlign w:val="center"/>
          </w:tcPr>
          <w:p w14:paraId="3A1EE30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ABA05E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F88E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81611">
            <w:pPr>
              <w:pageBreakBefore w:val="0"/>
              <w:kinsoku/>
              <w:wordWrap w:val="0"/>
              <w:bidi w:val="0"/>
              <w:spacing w:line="340" w:lineRule="atLeast"/>
              <w:jc w:val="center"/>
              <w:rPr>
                <w:rFonts w:hint="default" w:ascii="Times New Roman" w:hAnsi="Times New Roman" w:cs="Times New Roman"/>
                <w:szCs w:val="21"/>
                <w:highlight w:val="none"/>
              </w:rPr>
            </w:pPr>
          </w:p>
        </w:tc>
      </w:tr>
      <w:tr w14:paraId="5E1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E6EF2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4E1136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喷涂混凝土专用漆</w:t>
            </w:r>
          </w:p>
        </w:tc>
        <w:tc>
          <w:tcPr>
            <w:tcW w:w="837" w:type="dxa"/>
            <w:noWrap w:val="0"/>
            <w:vAlign w:val="center"/>
          </w:tcPr>
          <w:p w14:paraId="53694D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12A4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9F64E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B33794">
            <w:pPr>
              <w:pageBreakBefore w:val="0"/>
              <w:kinsoku/>
              <w:wordWrap w:val="0"/>
              <w:bidi w:val="0"/>
              <w:spacing w:line="340" w:lineRule="atLeast"/>
              <w:jc w:val="center"/>
              <w:rPr>
                <w:rFonts w:hint="default" w:ascii="Times New Roman" w:hAnsi="Times New Roman" w:cs="Times New Roman"/>
                <w:szCs w:val="21"/>
                <w:highlight w:val="none"/>
              </w:rPr>
            </w:pPr>
          </w:p>
        </w:tc>
      </w:tr>
      <w:tr w14:paraId="22F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8BD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B6DD7C3">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吊顶</w:t>
            </w:r>
          </w:p>
        </w:tc>
        <w:tc>
          <w:tcPr>
            <w:tcW w:w="837" w:type="dxa"/>
            <w:noWrap w:val="0"/>
            <w:vAlign w:val="center"/>
          </w:tcPr>
          <w:p w14:paraId="0868DBC5">
            <w:pPr>
              <w:pageBreakBefore w:val="0"/>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5C4AF2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A4FDC4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058587">
            <w:pPr>
              <w:pageBreakBefore w:val="0"/>
              <w:kinsoku/>
              <w:wordWrap w:val="0"/>
              <w:bidi w:val="0"/>
              <w:spacing w:line="340" w:lineRule="atLeast"/>
              <w:jc w:val="center"/>
              <w:rPr>
                <w:rFonts w:hint="default" w:ascii="Times New Roman" w:hAnsi="Times New Roman" w:cs="Times New Roman"/>
                <w:szCs w:val="21"/>
                <w:highlight w:val="none"/>
              </w:rPr>
            </w:pPr>
          </w:p>
        </w:tc>
      </w:tr>
      <w:tr w14:paraId="35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71889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w:t>
            </w:r>
          </w:p>
        </w:tc>
        <w:tc>
          <w:tcPr>
            <w:tcW w:w="4644" w:type="dxa"/>
            <w:noWrap w:val="0"/>
            <w:vAlign w:val="center"/>
          </w:tcPr>
          <w:p w14:paraId="5C8F31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11EAF13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63C9276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6BA1E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06733E">
            <w:pPr>
              <w:pageBreakBefore w:val="0"/>
              <w:kinsoku/>
              <w:wordWrap w:val="0"/>
              <w:bidi w:val="0"/>
              <w:spacing w:line="340" w:lineRule="atLeast"/>
              <w:jc w:val="center"/>
              <w:rPr>
                <w:rFonts w:hint="default" w:ascii="Times New Roman" w:hAnsi="Times New Roman" w:cs="Times New Roman"/>
                <w:szCs w:val="21"/>
                <w:highlight w:val="none"/>
              </w:rPr>
            </w:pPr>
          </w:p>
        </w:tc>
      </w:tr>
      <w:tr w14:paraId="444F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04865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508-1</w:t>
            </w:r>
          </w:p>
        </w:tc>
        <w:tc>
          <w:tcPr>
            <w:tcW w:w="4644" w:type="dxa"/>
            <w:noWrap w:val="0"/>
            <w:vAlign w:val="center"/>
          </w:tcPr>
          <w:p w14:paraId="43545FF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26D4022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74074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66F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18D701">
            <w:pPr>
              <w:pageBreakBefore w:val="0"/>
              <w:kinsoku/>
              <w:wordWrap w:val="0"/>
              <w:bidi w:val="0"/>
              <w:spacing w:line="340" w:lineRule="atLeast"/>
              <w:jc w:val="center"/>
              <w:rPr>
                <w:rFonts w:hint="default" w:ascii="Times New Roman" w:hAnsi="Times New Roman" w:cs="Times New Roman"/>
                <w:szCs w:val="21"/>
                <w:highlight w:val="none"/>
              </w:rPr>
            </w:pPr>
          </w:p>
        </w:tc>
      </w:tr>
      <w:tr w14:paraId="211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BA48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756F79D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必测项目</w:t>
            </w:r>
          </w:p>
        </w:tc>
        <w:tc>
          <w:tcPr>
            <w:tcW w:w="837" w:type="dxa"/>
            <w:noWrap w:val="0"/>
            <w:vAlign w:val="center"/>
          </w:tcPr>
          <w:p w14:paraId="2A6B443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0D6C86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01751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347D19">
            <w:pPr>
              <w:pageBreakBefore w:val="0"/>
              <w:kinsoku/>
              <w:wordWrap w:val="0"/>
              <w:bidi w:val="0"/>
              <w:spacing w:line="340" w:lineRule="atLeast"/>
              <w:jc w:val="center"/>
              <w:rPr>
                <w:rFonts w:hint="default" w:ascii="Times New Roman" w:hAnsi="Times New Roman" w:cs="Times New Roman"/>
                <w:szCs w:val="21"/>
                <w:highlight w:val="none"/>
              </w:rPr>
            </w:pPr>
          </w:p>
        </w:tc>
      </w:tr>
      <w:tr w14:paraId="6B2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D19B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CBA8B8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选测项目</w:t>
            </w:r>
          </w:p>
        </w:tc>
        <w:tc>
          <w:tcPr>
            <w:tcW w:w="837" w:type="dxa"/>
            <w:noWrap w:val="0"/>
            <w:vAlign w:val="center"/>
          </w:tcPr>
          <w:p w14:paraId="35D15C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D1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D10CC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50DEBD">
            <w:pPr>
              <w:pageBreakBefore w:val="0"/>
              <w:kinsoku/>
              <w:wordWrap w:val="0"/>
              <w:bidi w:val="0"/>
              <w:spacing w:line="340" w:lineRule="atLeast"/>
              <w:jc w:val="center"/>
              <w:rPr>
                <w:rFonts w:hint="default" w:ascii="Times New Roman" w:hAnsi="Times New Roman" w:cs="Times New Roman"/>
                <w:szCs w:val="21"/>
                <w:highlight w:val="none"/>
              </w:rPr>
            </w:pPr>
          </w:p>
        </w:tc>
      </w:tr>
      <w:tr w14:paraId="2C1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BBC3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w:t>
            </w:r>
          </w:p>
        </w:tc>
        <w:tc>
          <w:tcPr>
            <w:tcW w:w="4644" w:type="dxa"/>
            <w:noWrap w:val="0"/>
            <w:vAlign w:val="center"/>
          </w:tcPr>
          <w:p w14:paraId="526FD7DF">
            <w:pPr>
              <w:pageBreakBefore w:val="0"/>
              <w:widowControl/>
              <w:kinsoku/>
              <w:wordWrap w:val="0"/>
              <w:bidi w:val="0"/>
              <w:spacing w:line="34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特殊地质地段的施工与地质预报</w:t>
            </w:r>
          </w:p>
        </w:tc>
        <w:tc>
          <w:tcPr>
            <w:tcW w:w="837" w:type="dxa"/>
            <w:noWrap w:val="0"/>
            <w:vAlign w:val="center"/>
          </w:tcPr>
          <w:p w14:paraId="2161F0D3">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608B0C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F9C5BD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2103D8">
            <w:pPr>
              <w:pageBreakBefore w:val="0"/>
              <w:kinsoku/>
              <w:wordWrap w:val="0"/>
              <w:bidi w:val="0"/>
              <w:spacing w:line="340" w:lineRule="atLeast"/>
              <w:jc w:val="center"/>
              <w:rPr>
                <w:rFonts w:hint="default" w:ascii="Times New Roman" w:hAnsi="Times New Roman" w:cs="Times New Roman"/>
                <w:szCs w:val="21"/>
                <w:highlight w:val="none"/>
              </w:rPr>
            </w:pPr>
          </w:p>
        </w:tc>
      </w:tr>
      <w:tr w14:paraId="133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3D97A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509-1</w:t>
            </w:r>
          </w:p>
        </w:tc>
        <w:tc>
          <w:tcPr>
            <w:tcW w:w="4644" w:type="dxa"/>
            <w:noWrap w:val="0"/>
            <w:vAlign w:val="center"/>
          </w:tcPr>
          <w:p w14:paraId="4F59CDA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地质预报</w:t>
            </w:r>
          </w:p>
        </w:tc>
        <w:tc>
          <w:tcPr>
            <w:tcW w:w="837" w:type="dxa"/>
            <w:noWrap w:val="0"/>
            <w:vAlign w:val="center"/>
          </w:tcPr>
          <w:p w14:paraId="212688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29A3A2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B728C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C26F4">
            <w:pPr>
              <w:pageBreakBefore w:val="0"/>
              <w:kinsoku/>
              <w:wordWrap w:val="0"/>
              <w:bidi w:val="0"/>
              <w:spacing w:line="340" w:lineRule="atLeast"/>
              <w:jc w:val="center"/>
              <w:rPr>
                <w:rFonts w:hint="default" w:ascii="Times New Roman" w:hAnsi="Times New Roman" w:cs="Times New Roman"/>
                <w:szCs w:val="21"/>
                <w:highlight w:val="none"/>
              </w:rPr>
            </w:pPr>
          </w:p>
        </w:tc>
      </w:tr>
      <w:tr w14:paraId="52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2122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w:t>
            </w:r>
          </w:p>
        </w:tc>
        <w:tc>
          <w:tcPr>
            <w:tcW w:w="4644" w:type="dxa"/>
            <w:noWrap w:val="0"/>
            <w:vAlign w:val="center"/>
          </w:tcPr>
          <w:p w14:paraId="0A87A4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洞内机电设施预埋件和消防设施</w:t>
            </w:r>
          </w:p>
        </w:tc>
        <w:tc>
          <w:tcPr>
            <w:tcW w:w="837" w:type="dxa"/>
            <w:noWrap w:val="0"/>
            <w:vAlign w:val="center"/>
          </w:tcPr>
          <w:p w14:paraId="1426130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42FCB0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5AA2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F73838">
            <w:pPr>
              <w:pageBreakBefore w:val="0"/>
              <w:kinsoku/>
              <w:wordWrap w:val="0"/>
              <w:bidi w:val="0"/>
              <w:spacing w:line="340" w:lineRule="atLeast"/>
              <w:jc w:val="center"/>
              <w:rPr>
                <w:rFonts w:hint="default" w:ascii="Times New Roman" w:hAnsi="Times New Roman" w:cs="Times New Roman"/>
                <w:szCs w:val="21"/>
                <w:highlight w:val="none"/>
              </w:rPr>
            </w:pPr>
          </w:p>
        </w:tc>
      </w:tr>
      <w:tr w14:paraId="7D7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8F8D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510-1</w:t>
            </w:r>
          </w:p>
        </w:tc>
        <w:tc>
          <w:tcPr>
            <w:tcW w:w="4644" w:type="dxa"/>
            <w:noWrap w:val="0"/>
            <w:vAlign w:val="center"/>
          </w:tcPr>
          <w:p w14:paraId="4250D08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预埋件</w:t>
            </w:r>
          </w:p>
        </w:tc>
        <w:tc>
          <w:tcPr>
            <w:tcW w:w="837" w:type="dxa"/>
            <w:noWrap w:val="0"/>
            <w:vAlign w:val="center"/>
          </w:tcPr>
          <w:p w14:paraId="641671F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6BEF76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6024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C608C">
            <w:pPr>
              <w:pageBreakBefore w:val="0"/>
              <w:kinsoku/>
              <w:wordWrap w:val="0"/>
              <w:bidi w:val="0"/>
              <w:spacing w:line="340" w:lineRule="atLeast"/>
              <w:jc w:val="center"/>
              <w:rPr>
                <w:rFonts w:hint="default" w:ascii="Times New Roman" w:hAnsi="Times New Roman" w:cs="Times New Roman"/>
                <w:szCs w:val="21"/>
                <w:highlight w:val="none"/>
              </w:rPr>
            </w:pPr>
          </w:p>
        </w:tc>
      </w:tr>
      <w:tr w14:paraId="7EA2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D5C7D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1399B7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通风设施预埋件</w:t>
            </w:r>
          </w:p>
        </w:tc>
        <w:tc>
          <w:tcPr>
            <w:tcW w:w="837" w:type="dxa"/>
            <w:noWrap w:val="0"/>
            <w:vAlign w:val="top"/>
          </w:tcPr>
          <w:p w14:paraId="7453DBE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67E20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36AC2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16AB7D">
            <w:pPr>
              <w:pageBreakBefore w:val="0"/>
              <w:kinsoku/>
              <w:wordWrap w:val="0"/>
              <w:bidi w:val="0"/>
              <w:spacing w:line="340" w:lineRule="atLeast"/>
              <w:jc w:val="center"/>
              <w:rPr>
                <w:rFonts w:hint="default" w:ascii="Times New Roman" w:hAnsi="Times New Roman" w:cs="Times New Roman"/>
                <w:szCs w:val="21"/>
                <w:highlight w:val="none"/>
              </w:rPr>
            </w:pPr>
          </w:p>
        </w:tc>
      </w:tr>
      <w:tr w14:paraId="062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4A91D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1BF2E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通信设施预埋件</w:t>
            </w:r>
          </w:p>
        </w:tc>
        <w:tc>
          <w:tcPr>
            <w:tcW w:w="837" w:type="dxa"/>
            <w:noWrap w:val="0"/>
            <w:vAlign w:val="top"/>
          </w:tcPr>
          <w:p w14:paraId="5E843A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C87A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D71F18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2F13FB">
            <w:pPr>
              <w:pageBreakBefore w:val="0"/>
              <w:kinsoku/>
              <w:wordWrap w:val="0"/>
              <w:bidi w:val="0"/>
              <w:spacing w:line="340" w:lineRule="atLeast"/>
              <w:jc w:val="center"/>
              <w:rPr>
                <w:rFonts w:hint="default" w:ascii="Times New Roman" w:hAnsi="Times New Roman" w:cs="Times New Roman"/>
                <w:szCs w:val="21"/>
                <w:highlight w:val="none"/>
              </w:rPr>
            </w:pPr>
          </w:p>
        </w:tc>
      </w:tr>
      <w:tr w14:paraId="26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ABB2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9F8F4E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照明设施预埋件</w:t>
            </w:r>
          </w:p>
        </w:tc>
        <w:tc>
          <w:tcPr>
            <w:tcW w:w="837" w:type="dxa"/>
            <w:noWrap w:val="0"/>
            <w:vAlign w:val="top"/>
          </w:tcPr>
          <w:p w14:paraId="2823087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F2AD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B648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F7238">
            <w:pPr>
              <w:pageBreakBefore w:val="0"/>
              <w:kinsoku/>
              <w:wordWrap w:val="0"/>
              <w:bidi w:val="0"/>
              <w:spacing w:line="340" w:lineRule="atLeast"/>
              <w:jc w:val="center"/>
              <w:rPr>
                <w:rFonts w:hint="default" w:ascii="Times New Roman" w:hAnsi="Times New Roman" w:cs="Times New Roman"/>
                <w:szCs w:val="21"/>
                <w:highlight w:val="none"/>
              </w:rPr>
            </w:pPr>
          </w:p>
        </w:tc>
      </w:tr>
      <w:tr w14:paraId="22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643A9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EBFAA6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监控设施预埋件</w:t>
            </w:r>
          </w:p>
        </w:tc>
        <w:tc>
          <w:tcPr>
            <w:tcW w:w="837" w:type="dxa"/>
            <w:noWrap w:val="0"/>
            <w:vAlign w:val="top"/>
          </w:tcPr>
          <w:p w14:paraId="645B242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2E33F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54B1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F713">
            <w:pPr>
              <w:pageBreakBefore w:val="0"/>
              <w:kinsoku/>
              <w:wordWrap w:val="0"/>
              <w:bidi w:val="0"/>
              <w:spacing w:line="340" w:lineRule="atLeast"/>
              <w:jc w:val="center"/>
              <w:rPr>
                <w:rFonts w:hint="default" w:ascii="Times New Roman" w:hAnsi="Times New Roman" w:cs="Times New Roman"/>
                <w:szCs w:val="21"/>
                <w:highlight w:val="none"/>
              </w:rPr>
            </w:pPr>
          </w:p>
        </w:tc>
      </w:tr>
      <w:tr w14:paraId="2CD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549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A4CF85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供配电设施预埋件</w:t>
            </w:r>
          </w:p>
        </w:tc>
        <w:tc>
          <w:tcPr>
            <w:tcW w:w="837" w:type="dxa"/>
            <w:noWrap w:val="0"/>
            <w:vAlign w:val="top"/>
          </w:tcPr>
          <w:p w14:paraId="7796B69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2EAAF4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1F4C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A96E">
            <w:pPr>
              <w:pageBreakBefore w:val="0"/>
              <w:kinsoku/>
              <w:wordWrap w:val="0"/>
              <w:bidi w:val="0"/>
              <w:spacing w:line="340" w:lineRule="atLeast"/>
              <w:jc w:val="center"/>
              <w:rPr>
                <w:rFonts w:hint="default" w:ascii="Times New Roman" w:hAnsi="Times New Roman" w:cs="Times New Roman"/>
                <w:szCs w:val="21"/>
                <w:highlight w:val="none"/>
              </w:rPr>
            </w:pPr>
          </w:p>
        </w:tc>
      </w:tr>
      <w:tr w14:paraId="74F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274D37">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644" w:type="dxa"/>
            <w:noWrap w:val="0"/>
            <w:vAlign w:val="center"/>
          </w:tcPr>
          <w:p w14:paraId="769B76B8">
            <w:pPr>
              <w:pageBreakBefore w:val="0"/>
              <w:kinsoku/>
              <w:wordWrap w:val="0"/>
              <w:bidi w:val="0"/>
              <w:snapToGrid w:val="0"/>
              <w:spacing w:line="340" w:lineRule="atLeast"/>
              <w:ind w:left="-50" w:right="-5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837" w:type="dxa"/>
            <w:noWrap w:val="0"/>
            <w:vAlign w:val="top"/>
          </w:tcPr>
          <w:p w14:paraId="044CB79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0097BC1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4EBA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053C8C">
            <w:pPr>
              <w:pageBreakBefore w:val="0"/>
              <w:kinsoku/>
              <w:wordWrap w:val="0"/>
              <w:bidi w:val="0"/>
              <w:spacing w:line="340" w:lineRule="atLeast"/>
              <w:jc w:val="center"/>
              <w:rPr>
                <w:rFonts w:hint="default" w:ascii="Times New Roman" w:hAnsi="Times New Roman" w:cs="Times New Roman"/>
                <w:szCs w:val="21"/>
                <w:highlight w:val="none"/>
              </w:rPr>
            </w:pPr>
          </w:p>
        </w:tc>
      </w:tr>
      <w:tr w14:paraId="3A7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07EA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510-2</w:t>
            </w:r>
          </w:p>
        </w:tc>
        <w:tc>
          <w:tcPr>
            <w:tcW w:w="4644" w:type="dxa"/>
            <w:noWrap w:val="0"/>
            <w:vAlign w:val="center"/>
          </w:tcPr>
          <w:p w14:paraId="3ACD429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消防设施</w:t>
            </w:r>
          </w:p>
        </w:tc>
        <w:tc>
          <w:tcPr>
            <w:tcW w:w="837" w:type="dxa"/>
            <w:noWrap w:val="0"/>
            <w:vAlign w:val="center"/>
          </w:tcPr>
          <w:p w14:paraId="5709F0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3702C2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F89F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9B8BE">
            <w:pPr>
              <w:pageBreakBefore w:val="0"/>
              <w:kinsoku/>
              <w:wordWrap w:val="0"/>
              <w:bidi w:val="0"/>
              <w:spacing w:line="340" w:lineRule="atLeast"/>
              <w:jc w:val="center"/>
              <w:rPr>
                <w:rFonts w:hint="default" w:ascii="Times New Roman" w:hAnsi="Times New Roman" w:cs="Times New Roman"/>
                <w:szCs w:val="21"/>
                <w:highlight w:val="none"/>
              </w:rPr>
            </w:pPr>
          </w:p>
        </w:tc>
      </w:tr>
      <w:tr w14:paraId="4B6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A5EF0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noWrap w:val="0"/>
            <w:vAlign w:val="center"/>
          </w:tcPr>
          <w:p w14:paraId="7DE8C6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供水钢管（</w:t>
            </w:r>
            <w:r>
              <w:rPr>
                <w:rFonts w:hint="default" w:ascii="Times New Roman" w:hAnsi="Times New Roman" w:cs="Times New Roman"/>
                <w:szCs w:val="21"/>
                <w:highlight w:val="none"/>
              </w:rPr>
              <w:t>Ф…mm</w:t>
            </w:r>
            <w:r>
              <w:rPr>
                <w:rFonts w:hint="default" w:ascii="Times New Roman" w:hAnsi="Times New Roman" w:cs="Times New Roman"/>
                <w:kern w:val="0"/>
                <w:szCs w:val="21"/>
                <w:highlight w:val="none"/>
              </w:rPr>
              <w:t>）</w:t>
            </w:r>
          </w:p>
        </w:tc>
        <w:tc>
          <w:tcPr>
            <w:tcW w:w="837" w:type="dxa"/>
            <w:noWrap w:val="0"/>
            <w:vAlign w:val="center"/>
          </w:tcPr>
          <w:p w14:paraId="02E514B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2CCAB78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A02E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46C97">
            <w:pPr>
              <w:pageBreakBefore w:val="0"/>
              <w:kinsoku/>
              <w:wordWrap w:val="0"/>
              <w:bidi w:val="0"/>
              <w:spacing w:line="340" w:lineRule="atLeast"/>
              <w:jc w:val="center"/>
              <w:rPr>
                <w:rFonts w:hint="default" w:ascii="Times New Roman" w:hAnsi="Times New Roman" w:cs="Times New Roman"/>
                <w:szCs w:val="21"/>
                <w:highlight w:val="none"/>
              </w:rPr>
            </w:pPr>
          </w:p>
        </w:tc>
      </w:tr>
      <w:tr w14:paraId="73A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A97B87">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center"/>
          </w:tcPr>
          <w:p w14:paraId="2759D8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消防洞室防火门</w:t>
            </w:r>
          </w:p>
        </w:tc>
        <w:tc>
          <w:tcPr>
            <w:tcW w:w="837" w:type="dxa"/>
            <w:noWrap w:val="0"/>
            <w:vAlign w:val="center"/>
          </w:tcPr>
          <w:p w14:paraId="59619E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w:t>
            </w:r>
          </w:p>
        </w:tc>
        <w:tc>
          <w:tcPr>
            <w:tcW w:w="837" w:type="dxa"/>
            <w:noWrap w:val="0"/>
            <w:vAlign w:val="center"/>
          </w:tcPr>
          <w:p w14:paraId="6E6B6A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6D21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E5CFD4">
            <w:pPr>
              <w:pageBreakBefore w:val="0"/>
              <w:kinsoku/>
              <w:wordWrap w:val="0"/>
              <w:bidi w:val="0"/>
              <w:spacing w:line="340" w:lineRule="atLeast"/>
              <w:jc w:val="center"/>
              <w:rPr>
                <w:rFonts w:hint="default" w:ascii="Times New Roman" w:hAnsi="Times New Roman" w:cs="Times New Roman"/>
                <w:szCs w:val="21"/>
                <w:highlight w:val="none"/>
              </w:rPr>
            </w:pPr>
          </w:p>
        </w:tc>
      </w:tr>
      <w:tr w14:paraId="4CB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29022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644" w:type="dxa"/>
            <w:noWrap w:val="0"/>
            <w:vAlign w:val="center"/>
          </w:tcPr>
          <w:p w14:paraId="6EE920B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集水池</w:t>
            </w:r>
          </w:p>
        </w:tc>
        <w:tc>
          <w:tcPr>
            <w:tcW w:w="837" w:type="dxa"/>
            <w:noWrap w:val="0"/>
            <w:vAlign w:val="center"/>
          </w:tcPr>
          <w:p w14:paraId="62917E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0990EB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1D2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02EA88">
            <w:pPr>
              <w:pageBreakBefore w:val="0"/>
              <w:kinsoku/>
              <w:wordWrap w:val="0"/>
              <w:bidi w:val="0"/>
              <w:spacing w:line="340" w:lineRule="atLeast"/>
              <w:jc w:val="center"/>
              <w:rPr>
                <w:rFonts w:hint="default" w:ascii="Times New Roman" w:hAnsi="Times New Roman" w:cs="Times New Roman"/>
                <w:szCs w:val="21"/>
                <w:highlight w:val="none"/>
              </w:rPr>
            </w:pPr>
          </w:p>
        </w:tc>
      </w:tr>
      <w:tr w14:paraId="7E5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F9C6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644" w:type="dxa"/>
            <w:noWrap w:val="0"/>
            <w:vAlign w:val="center"/>
          </w:tcPr>
          <w:p w14:paraId="3054C62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蓄水池</w:t>
            </w:r>
          </w:p>
        </w:tc>
        <w:tc>
          <w:tcPr>
            <w:tcW w:w="837" w:type="dxa"/>
            <w:noWrap w:val="0"/>
            <w:vAlign w:val="center"/>
          </w:tcPr>
          <w:p w14:paraId="2DF513C6">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210BB11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3246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D400FB">
            <w:pPr>
              <w:pageBreakBefore w:val="0"/>
              <w:kinsoku/>
              <w:wordWrap w:val="0"/>
              <w:bidi w:val="0"/>
              <w:spacing w:line="340" w:lineRule="atLeast"/>
              <w:jc w:val="center"/>
              <w:rPr>
                <w:rFonts w:hint="default" w:ascii="Times New Roman" w:hAnsi="Times New Roman" w:cs="Times New Roman"/>
                <w:szCs w:val="21"/>
                <w:highlight w:val="none"/>
              </w:rPr>
            </w:pPr>
          </w:p>
        </w:tc>
      </w:tr>
      <w:tr w14:paraId="643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935FB0">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-e</w:t>
            </w:r>
          </w:p>
        </w:tc>
        <w:tc>
          <w:tcPr>
            <w:tcW w:w="4644" w:type="dxa"/>
            <w:noWrap w:val="0"/>
            <w:vAlign w:val="center"/>
          </w:tcPr>
          <w:p w14:paraId="02436F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泵房</w:t>
            </w:r>
          </w:p>
        </w:tc>
        <w:tc>
          <w:tcPr>
            <w:tcW w:w="837" w:type="dxa"/>
            <w:noWrap w:val="0"/>
            <w:vAlign w:val="center"/>
          </w:tcPr>
          <w:p w14:paraId="0E1CFA4E">
            <w:pPr>
              <w:pageBreakBefore w:val="0"/>
              <w:kinsoku/>
              <w:wordWrap w:val="0"/>
              <w:bidi w:val="0"/>
              <w:snapToGrid w:val="0"/>
              <w:spacing w:line="340" w:lineRule="atLeast"/>
              <w:ind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44FA5E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94C9B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D64998">
            <w:pPr>
              <w:pageBreakBefore w:val="0"/>
              <w:kinsoku/>
              <w:wordWrap w:val="0"/>
              <w:bidi w:val="0"/>
              <w:spacing w:line="340" w:lineRule="atLeast"/>
              <w:jc w:val="center"/>
              <w:rPr>
                <w:rFonts w:hint="default" w:ascii="Times New Roman" w:hAnsi="Times New Roman" w:cs="Times New Roman"/>
                <w:szCs w:val="21"/>
                <w:highlight w:val="none"/>
              </w:rPr>
            </w:pPr>
          </w:p>
        </w:tc>
      </w:tr>
      <w:tr w14:paraId="6FB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0AA3A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3642984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w:t>
            </w:r>
          </w:p>
        </w:tc>
        <w:tc>
          <w:tcPr>
            <w:tcW w:w="837" w:type="dxa"/>
            <w:noWrap w:val="0"/>
            <w:vAlign w:val="top"/>
          </w:tcPr>
          <w:p w14:paraId="006E656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513074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A6667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3FB74C">
            <w:pPr>
              <w:pageBreakBefore w:val="0"/>
              <w:kinsoku/>
              <w:wordWrap w:val="0"/>
              <w:bidi w:val="0"/>
              <w:spacing w:line="340" w:lineRule="atLeast"/>
              <w:jc w:val="center"/>
              <w:rPr>
                <w:rFonts w:hint="default" w:ascii="Times New Roman" w:hAnsi="Times New Roman" w:cs="Times New Roman"/>
                <w:szCs w:val="21"/>
                <w:highlight w:val="none"/>
              </w:rPr>
            </w:pPr>
          </w:p>
        </w:tc>
      </w:tr>
      <w:tr w14:paraId="5E4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DAF1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2815ECC6">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4034B732">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D1FF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938F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D13E9">
            <w:pPr>
              <w:pageBreakBefore w:val="0"/>
              <w:kinsoku/>
              <w:wordWrap w:val="0"/>
              <w:bidi w:val="0"/>
              <w:spacing w:line="340" w:lineRule="atLeast"/>
              <w:jc w:val="center"/>
              <w:rPr>
                <w:rFonts w:hint="default" w:ascii="Times New Roman" w:hAnsi="Times New Roman" w:cs="Times New Roman"/>
                <w:szCs w:val="21"/>
                <w:highlight w:val="none"/>
              </w:rPr>
            </w:pPr>
          </w:p>
        </w:tc>
      </w:tr>
      <w:tr w14:paraId="5B0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F1A9D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550FFB9A">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69934DE1">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13F5825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BEA1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1D749D">
            <w:pPr>
              <w:pageBreakBefore w:val="0"/>
              <w:kinsoku/>
              <w:wordWrap w:val="0"/>
              <w:bidi w:val="0"/>
              <w:spacing w:line="340" w:lineRule="atLeast"/>
              <w:jc w:val="center"/>
              <w:rPr>
                <w:rFonts w:hint="default" w:ascii="Times New Roman" w:hAnsi="Times New Roman" w:cs="Times New Roman"/>
                <w:szCs w:val="21"/>
                <w:highlight w:val="none"/>
              </w:rPr>
            </w:pPr>
          </w:p>
        </w:tc>
      </w:tr>
      <w:tr w14:paraId="36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6996DF">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66E681F9">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04F084F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A5640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EA361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BE0DD">
            <w:pPr>
              <w:pageBreakBefore w:val="0"/>
              <w:kinsoku/>
              <w:wordWrap w:val="0"/>
              <w:bidi w:val="0"/>
              <w:spacing w:line="340" w:lineRule="atLeast"/>
              <w:jc w:val="center"/>
              <w:rPr>
                <w:rFonts w:hint="default" w:ascii="Times New Roman" w:hAnsi="Times New Roman" w:cs="Times New Roman"/>
                <w:szCs w:val="21"/>
                <w:highlight w:val="none"/>
              </w:rPr>
            </w:pPr>
          </w:p>
        </w:tc>
      </w:tr>
      <w:tr w14:paraId="1EA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6B9439F1">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清单第500章合计  人民币</w:t>
            </w:r>
            <w:r>
              <w:rPr>
                <w:rFonts w:hint="default" w:ascii="Times New Roman" w:hAnsi="Times New Roman" w:cs="Times New Roman"/>
                <w:szCs w:val="21"/>
                <w:highlight w:val="none"/>
                <w:u w:val="single"/>
              </w:rPr>
              <w:t xml:space="preserve">                    </w:t>
            </w:r>
          </w:p>
        </w:tc>
      </w:tr>
    </w:tbl>
    <w:p w14:paraId="6253D11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ACEC75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AB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2088EB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5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1BA0889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F6C233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E055D0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59215D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F090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ACD5F6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F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6E3390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602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3D5D584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056FEA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39C8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0B8EA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5EC7C5B8">
            <w:pPr>
              <w:pageBreakBefore w:val="0"/>
              <w:kinsoku/>
              <w:wordWrap w:val="0"/>
              <w:bidi w:val="0"/>
              <w:spacing w:line="360" w:lineRule="atLeast"/>
              <w:jc w:val="center"/>
              <w:rPr>
                <w:rFonts w:hint="default" w:ascii="Times New Roman" w:hAnsi="Times New Roman" w:cs="Times New Roman"/>
                <w:szCs w:val="21"/>
                <w:highlight w:val="none"/>
              </w:rPr>
            </w:pPr>
          </w:p>
        </w:tc>
      </w:tr>
      <w:tr w14:paraId="799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68FF0A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602-1</w:t>
            </w:r>
          </w:p>
        </w:tc>
        <w:tc>
          <w:tcPr>
            <w:tcW w:w="4732" w:type="dxa"/>
            <w:tcBorders>
              <w:top w:val="single" w:color="auto" w:sz="4" w:space="0"/>
              <w:left w:val="single" w:color="auto" w:sz="4" w:space="0"/>
              <w:right w:val="single" w:color="auto" w:sz="4" w:space="0"/>
            </w:tcBorders>
            <w:noWrap w:val="0"/>
            <w:vAlign w:val="center"/>
          </w:tcPr>
          <w:p w14:paraId="2720E1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混凝土护栏（护墙、立柱）</w:t>
            </w:r>
          </w:p>
        </w:tc>
        <w:tc>
          <w:tcPr>
            <w:tcW w:w="749" w:type="dxa"/>
            <w:tcBorders>
              <w:top w:val="single" w:color="auto" w:sz="4" w:space="0"/>
              <w:left w:val="single" w:color="auto" w:sz="4" w:space="0"/>
              <w:right w:val="single" w:color="auto" w:sz="4" w:space="0"/>
            </w:tcBorders>
            <w:noWrap w:val="0"/>
            <w:vAlign w:val="center"/>
          </w:tcPr>
          <w:p w14:paraId="42477734">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0E023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04A9A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ACF0C0">
            <w:pPr>
              <w:pageBreakBefore w:val="0"/>
              <w:kinsoku/>
              <w:wordWrap w:val="0"/>
              <w:bidi w:val="0"/>
              <w:spacing w:line="360" w:lineRule="atLeast"/>
              <w:jc w:val="center"/>
              <w:rPr>
                <w:rFonts w:hint="default" w:ascii="Times New Roman" w:hAnsi="Times New Roman" w:cs="Times New Roman"/>
                <w:szCs w:val="21"/>
                <w:highlight w:val="none"/>
              </w:rPr>
            </w:pPr>
          </w:p>
        </w:tc>
      </w:tr>
      <w:tr w14:paraId="55C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A063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9E10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现浇混凝土护栏</w:t>
            </w:r>
          </w:p>
        </w:tc>
        <w:tc>
          <w:tcPr>
            <w:tcW w:w="749" w:type="dxa"/>
            <w:noWrap w:val="0"/>
            <w:vAlign w:val="center"/>
          </w:tcPr>
          <w:p w14:paraId="21E5EE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168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1FA7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CDFA79">
            <w:pPr>
              <w:pageBreakBefore w:val="0"/>
              <w:kinsoku/>
              <w:wordWrap w:val="0"/>
              <w:bidi w:val="0"/>
              <w:spacing w:line="360" w:lineRule="atLeast"/>
              <w:jc w:val="center"/>
              <w:rPr>
                <w:rFonts w:hint="default" w:ascii="Times New Roman" w:hAnsi="Times New Roman" w:cs="Times New Roman"/>
                <w:szCs w:val="21"/>
                <w:highlight w:val="none"/>
              </w:rPr>
            </w:pPr>
          </w:p>
        </w:tc>
      </w:tr>
      <w:tr w14:paraId="2CA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A9E7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DE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预制安装混凝土护栏</w:t>
            </w:r>
          </w:p>
        </w:tc>
        <w:tc>
          <w:tcPr>
            <w:tcW w:w="749" w:type="dxa"/>
            <w:noWrap w:val="0"/>
            <w:vAlign w:val="center"/>
          </w:tcPr>
          <w:p w14:paraId="35F604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377C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F03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D37D48">
            <w:pPr>
              <w:pageBreakBefore w:val="0"/>
              <w:kinsoku/>
              <w:wordWrap w:val="0"/>
              <w:bidi w:val="0"/>
              <w:spacing w:line="360" w:lineRule="atLeast"/>
              <w:jc w:val="center"/>
              <w:rPr>
                <w:rFonts w:hint="default" w:ascii="Times New Roman" w:hAnsi="Times New Roman" w:cs="Times New Roman"/>
                <w:szCs w:val="21"/>
                <w:highlight w:val="none"/>
              </w:rPr>
            </w:pPr>
          </w:p>
        </w:tc>
      </w:tr>
      <w:tr w14:paraId="61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B712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F8222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现浇混凝土基础</w:t>
            </w:r>
          </w:p>
        </w:tc>
        <w:tc>
          <w:tcPr>
            <w:tcW w:w="749" w:type="dxa"/>
            <w:noWrap w:val="0"/>
            <w:vAlign w:val="center"/>
          </w:tcPr>
          <w:p w14:paraId="0ACDE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E0D2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F3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66C071">
            <w:pPr>
              <w:pageBreakBefore w:val="0"/>
              <w:kinsoku/>
              <w:wordWrap w:val="0"/>
              <w:bidi w:val="0"/>
              <w:spacing w:line="360" w:lineRule="atLeast"/>
              <w:jc w:val="center"/>
              <w:rPr>
                <w:rFonts w:hint="default" w:ascii="Times New Roman" w:hAnsi="Times New Roman" w:cs="Times New Roman"/>
                <w:szCs w:val="21"/>
                <w:highlight w:val="none"/>
              </w:rPr>
            </w:pPr>
          </w:p>
        </w:tc>
      </w:tr>
      <w:tr w14:paraId="34C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AC6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CC8C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30E21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E272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5F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EB9F63">
            <w:pPr>
              <w:pageBreakBefore w:val="0"/>
              <w:kinsoku/>
              <w:wordWrap w:val="0"/>
              <w:bidi w:val="0"/>
              <w:spacing w:line="360" w:lineRule="atLeast"/>
              <w:jc w:val="center"/>
              <w:rPr>
                <w:rFonts w:hint="default" w:ascii="Times New Roman" w:hAnsi="Times New Roman" w:cs="Times New Roman"/>
                <w:szCs w:val="21"/>
                <w:highlight w:val="none"/>
              </w:rPr>
            </w:pPr>
          </w:p>
        </w:tc>
      </w:tr>
      <w:tr w14:paraId="2B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0671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602-2</w:t>
            </w:r>
          </w:p>
        </w:tc>
        <w:tc>
          <w:tcPr>
            <w:tcW w:w="4732" w:type="dxa"/>
            <w:noWrap w:val="0"/>
            <w:vAlign w:val="center"/>
          </w:tcPr>
          <w:p w14:paraId="6176142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石砌护墙</w:t>
            </w:r>
          </w:p>
        </w:tc>
        <w:tc>
          <w:tcPr>
            <w:tcW w:w="749" w:type="dxa"/>
            <w:noWrap w:val="0"/>
            <w:vAlign w:val="center"/>
          </w:tcPr>
          <w:p w14:paraId="26E66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E5E36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17F3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B74FCB">
            <w:pPr>
              <w:pageBreakBefore w:val="0"/>
              <w:kinsoku/>
              <w:wordWrap w:val="0"/>
              <w:bidi w:val="0"/>
              <w:spacing w:line="360" w:lineRule="atLeast"/>
              <w:jc w:val="center"/>
              <w:rPr>
                <w:rFonts w:hint="default" w:ascii="Times New Roman" w:hAnsi="Times New Roman" w:cs="Times New Roman"/>
                <w:szCs w:val="21"/>
                <w:highlight w:val="none"/>
              </w:rPr>
            </w:pPr>
          </w:p>
        </w:tc>
      </w:tr>
      <w:tr w14:paraId="1E2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DF0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602-3</w:t>
            </w:r>
          </w:p>
        </w:tc>
        <w:tc>
          <w:tcPr>
            <w:tcW w:w="4732" w:type="dxa"/>
            <w:noWrap w:val="0"/>
            <w:vAlign w:val="center"/>
          </w:tcPr>
          <w:p w14:paraId="6C1CED7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w:t>
            </w:r>
          </w:p>
        </w:tc>
        <w:tc>
          <w:tcPr>
            <w:tcW w:w="749" w:type="dxa"/>
            <w:noWrap w:val="0"/>
            <w:vAlign w:val="center"/>
          </w:tcPr>
          <w:p w14:paraId="39B449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746A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AF1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BE3504">
            <w:pPr>
              <w:pageBreakBefore w:val="0"/>
              <w:kinsoku/>
              <w:wordWrap w:val="0"/>
              <w:bidi w:val="0"/>
              <w:spacing w:line="360" w:lineRule="atLeast"/>
              <w:jc w:val="center"/>
              <w:rPr>
                <w:rFonts w:hint="default" w:ascii="Times New Roman" w:hAnsi="Times New Roman" w:cs="Times New Roman"/>
                <w:szCs w:val="21"/>
                <w:highlight w:val="none"/>
              </w:rPr>
            </w:pPr>
          </w:p>
        </w:tc>
      </w:tr>
      <w:tr w14:paraId="614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766E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6B1BD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路侧波形梁钢护栏</w:t>
            </w:r>
          </w:p>
        </w:tc>
        <w:tc>
          <w:tcPr>
            <w:tcW w:w="749" w:type="dxa"/>
            <w:noWrap w:val="0"/>
            <w:vAlign w:val="center"/>
          </w:tcPr>
          <w:p w14:paraId="099B67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　</w:t>
            </w:r>
          </w:p>
        </w:tc>
        <w:tc>
          <w:tcPr>
            <w:tcW w:w="837" w:type="dxa"/>
            <w:noWrap w:val="0"/>
            <w:vAlign w:val="center"/>
          </w:tcPr>
          <w:p w14:paraId="10CB61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470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E50AE3">
            <w:pPr>
              <w:pageBreakBefore w:val="0"/>
              <w:kinsoku/>
              <w:wordWrap w:val="0"/>
              <w:bidi w:val="0"/>
              <w:spacing w:line="360" w:lineRule="atLeast"/>
              <w:jc w:val="center"/>
              <w:rPr>
                <w:rFonts w:hint="default" w:ascii="Times New Roman" w:hAnsi="Times New Roman" w:cs="Times New Roman"/>
                <w:szCs w:val="21"/>
                <w:highlight w:val="none"/>
              </w:rPr>
            </w:pPr>
          </w:p>
        </w:tc>
      </w:tr>
      <w:tr w14:paraId="611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9056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52E19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中央分隔带波形梁钢护栏</w:t>
            </w:r>
          </w:p>
        </w:tc>
        <w:tc>
          <w:tcPr>
            <w:tcW w:w="749" w:type="dxa"/>
            <w:noWrap w:val="0"/>
            <w:vAlign w:val="center"/>
          </w:tcPr>
          <w:p w14:paraId="372AB0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3762C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A40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078B3">
            <w:pPr>
              <w:pageBreakBefore w:val="0"/>
              <w:kinsoku/>
              <w:wordWrap w:val="0"/>
              <w:bidi w:val="0"/>
              <w:spacing w:line="360" w:lineRule="atLeast"/>
              <w:jc w:val="center"/>
              <w:rPr>
                <w:rFonts w:hint="default" w:ascii="Times New Roman" w:hAnsi="Times New Roman" w:cs="Times New Roman"/>
                <w:szCs w:val="21"/>
                <w:highlight w:val="none"/>
              </w:rPr>
            </w:pPr>
          </w:p>
        </w:tc>
      </w:tr>
      <w:tr w14:paraId="42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F67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3727E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波形梁钢护栏端头</w:t>
            </w:r>
          </w:p>
        </w:tc>
        <w:tc>
          <w:tcPr>
            <w:tcW w:w="749" w:type="dxa"/>
            <w:noWrap w:val="0"/>
            <w:vAlign w:val="center"/>
          </w:tcPr>
          <w:p w14:paraId="1EF79B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E1908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EC0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69EC2A">
            <w:pPr>
              <w:pageBreakBefore w:val="0"/>
              <w:kinsoku/>
              <w:wordWrap w:val="0"/>
              <w:bidi w:val="0"/>
              <w:spacing w:line="360" w:lineRule="atLeast"/>
              <w:jc w:val="center"/>
              <w:rPr>
                <w:rFonts w:hint="default" w:ascii="Times New Roman" w:hAnsi="Times New Roman" w:cs="Times New Roman"/>
                <w:szCs w:val="21"/>
                <w:highlight w:val="none"/>
              </w:rPr>
            </w:pPr>
          </w:p>
        </w:tc>
      </w:tr>
      <w:tr w14:paraId="1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CB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602-4</w:t>
            </w:r>
          </w:p>
        </w:tc>
        <w:tc>
          <w:tcPr>
            <w:tcW w:w="4732" w:type="dxa"/>
            <w:noWrap w:val="0"/>
            <w:vAlign w:val="center"/>
          </w:tcPr>
          <w:p w14:paraId="2F1CFC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缆索护栏</w:t>
            </w:r>
          </w:p>
        </w:tc>
        <w:tc>
          <w:tcPr>
            <w:tcW w:w="749" w:type="dxa"/>
            <w:noWrap w:val="0"/>
            <w:vAlign w:val="center"/>
          </w:tcPr>
          <w:p w14:paraId="1963F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9B8CA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00E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A7A345">
            <w:pPr>
              <w:pageBreakBefore w:val="0"/>
              <w:kinsoku/>
              <w:wordWrap w:val="0"/>
              <w:bidi w:val="0"/>
              <w:spacing w:line="360" w:lineRule="atLeast"/>
              <w:jc w:val="center"/>
              <w:rPr>
                <w:rFonts w:hint="default" w:ascii="Times New Roman" w:hAnsi="Times New Roman" w:cs="Times New Roman"/>
                <w:szCs w:val="21"/>
                <w:highlight w:val="none"/>
              </w:rPr>
            </w:pPr>
          </w:p>
        </w:tc>
      </w:tr>
      <w:tr w14:paraId="5FD2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ED3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ADBA5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路侧缆索护栏</w:t>
            </w:r>
          </w:p>
        </w:tc>
        <w:tc>
          <w:tcPr>
            <w:tcW w:w="749" w:type="dxa"/>
            <w:noWrap w:val="0"/>
            <w:vAlign w:val="center"/>
          </w:tcPr>
          <w:p w14:paraId="02F507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6D05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6393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CA6708">
            <w:pPr>
              <w:pageBreakBefore w:val="0"/>
              <w:kinsoku/>
              <w:wordWrap w:val="0"/>
              <w:bidi w:val="0"/>
              <w:spacing w:line="360" w:lineRule="atLeast"/>
              <w:jc w:val="center"/>
              <w:rPr>
                <w:rFonts w:hint="default" w:ascii="Times New Roman" w:hAnsi="Times New Roman" w:cs="Times New Roman"/>
                <w:szCs w:val="21"/>
                <w:highlight w:val="none"/>
              </w:rPr>
            </w:pPr>
          </w:p>
        </w:tc>
      </w:tr>
      <w:tr w14:paraId="5FD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2F0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0BDE1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中央分隔带缆索护栏</w:t>
            </w:r>
          </w:p>
        </w:tc>
        <w:tc>
          <w:tcPr>
            <w:tcW w:w="749" w:type="dxa"/>
            <w:noWrap w:val="0"/>
            <w:vAlign w:val="center"/>
          </w:tcPr>
          <w:p w14:paraId="5AB52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BD10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8BA6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1BF589">
            <w:pPr>
              <w:pageBreakBefore w:val="0"/>
              <w:kinsoku/>
              <w:wordWrap w:val="0"/>
              <w:bidi w:val="0"/>
              <w:spacing w:line="360" w:lineRule="atLeast"/>
              <w:jc w:val="center"/>
              <w:rPr>
                <w:rFonts w:hint="default" w:ascii="Times New Roman" w:hAnsi="Times New Roman" w:cs="Times New Roman"/>
                <w:szCs w:val="21"/>
                <w:highlight w:val="none"/>
              </w:rPr>
            </w:pPr>
          </w:p>
        </w:tc>
      </w:tr>
      <w:tr w14:paraId="56E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0ACE4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602-5</w:t>
            </w:r>
          </w:p>
        </w:tc>
        <w:tc>
          <w:tcPr>
            <w:tcW w:w="4732" w:type="dxa"/>
            <w:noWrap w:val="0"/>
            <w:vAlign w:val="center"/>
          </w:tcPr>
          <w:p w14:paraId="6615200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中央分隔带活动护栏</w:t>
            </w:r>
          </w:p>
        </w:tc>
        <w:tc>
          <w:tcPr>
            <w:tcW w:w="749" w:type="dxa"/>
            <w:noWrap w:val="0"/>
            <w:vAlign w:val="center"/>
          </w:tcPr>
          <w:p w14:paraId="46481D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0629D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4F3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98C56">
            <w:pPr>
              <w:pageBreakBefore w:val="0"/>
              <w:kinsoku/>
              <w:wordWrap w:val="0"/>
              <w:bidi w:val="0"/>
              <w:spacing w:line="360" w:lineRule="atLeast"/>
              <w:jc w:val="center"/>
              <w:rPr>
                <w:rFonts w:hint="default" w:ascii="Times New Roman" w:hAnsi="Times New Roman" w:cs="Times New Roman"/>
                <w:szCs w:val="21"/>
                <w:highlight w:val="none"/>
              </w:rPr>
            </w:pPr>
          </w:p>
        </w:tc>
      </w:tr>
      <w:tr w14:paraId="416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E7B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64282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钢质插拔式</w:t>
            </w:r>
          </w:p>
        </w:tc>
        <w:tc>
          <w:tcPr>
            <w:tcW w:w="749" w:type="dxa"/>
            <w:noWrap w:val="0"/>
            <w:vAlign w:val="center"/>
          </w:tcPr>
          <w:p w14:paraId="01DC9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C8B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776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5677F0">
            <w:pPr>
              <w:pageBreakBefore w:val="0"/>
              <w:kinsoku/>
              <w:wordWrap w:val="0"/>
              <w:bidi w:val="0"/>
              <w:spacing w:line="360" w:lineRule="atLeast"/>
              <w:jc w:val="center"/>
              <w:rPr>
                <w:rFonts w:hint="default" w:ascii="Times New Roman" w:hAnsi="Times New Roman" w:cs="Times New Roman"/>
                <w:szCs w:val="21"/>
                <w:highlight w:val="none"/>
              </w:rPr>
            </w:pPr>
          </w:p>
        </w:tc>
      </w:tr>
      <w:tr w14:paraId="0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5A9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20BD4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钢质伸缩式</w:t>
            </w:r>
          </w:p>
        </w:tc>
        <w:tc>
          <w:tcPr>
            <w:tcW w:w="749" w:type="dxa"/>
            <w:noWrap w:val="0"/>
            <w:vAlign w:val="center"/>
          </w:tcPr>
          <w:p w14:paraId="768199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DC8F0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89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632ECE">
            <w:pPr>
              <w:pageBreakBefore w:val="0"/>
              <w:kinsoku/>
              <w:wordWrap w:val="0"/>
              <w:bidi w:val="0"/>
              <w:spacing w:line="360" w:lineRule="atLeast"/>
              <w:jc w:val="center"/>
              <w:rPr>
                <w:rFonts w:hint="default" w:ascii="Times New Roman" w:hAnsi="Times New Roman" w:cs="Times New Roman"/>
                <w:szCs w:val="21"/>
                <w:highlight w:val="none"/>
              </w:rPr>
            </w:pPr>
          </w:p>
        </w:tc>
      </w:tr>
      <w:tr w14:paraId="3CF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69FE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4ACD8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钢管预应力索防撞活动护栏</w:t>
            </w:r>
          </w:p>
        </w:tc>
        <w:tc>
          <w:tcPr>
            <w:tcW w:w="749" w:type="dxa"/>
            <w:noWrap w:val="0"/>
            <w:vAlign w:val="center"/>
          </w:tcPr>
          <w:p w14:paraId="69D6E4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F22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CF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2C346F">
            <w:pPr>
              <w:pageBreakBefore w:val="0"/>
              <w:kinsoku/>
              <w:wordWrap w:val="0"/>
              <w:bidi w:val="0"/>
              <w:spacing w:line="360" w:lineRule="atLeast"/>
              <w:jc w:val="center"/>
              <w:rPr>
                <w:rFonts w:hint="default" w:ascii="Times New Roman" w:hAnsi="Times New Roman" w:cs="Times New Roman"/>
                <w:szCs w:val="21"/>
                <w:highlight w:val="none"/>
              </w:rPr>
            </w:pPr>
          </w:p>
        </w:tc>
      </w:tr>
      <w:tr w14:paraId="58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88366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w:t>
            </w:r>
          </w:p>
        </w:tc>
        <w:tc>
          <w:tcPr>
            <w:tcW w:w="4732" w:type="dxa"/>
            <w:noWrap w:val="0"/>
            <w:vAlign w:val="center"/>
          </w:tcPr>
          <w:p w14:paraId="59C6D0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隔离栅和防落物网</w:t>
            </w:r>
          </w:p>
        </w:tc>
        <w:tc>
          <w:tcPr>
            <w:tcW w:w="749" w:type="dxa"/>
            <w:noWrap w:val="0"/>
            <w:vAlign w:val="center"/>
          </w:tcPr>
          <w:p w14:paraId="57DE6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87FB8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EC589E">
            <w:pPr>
              <w:pageBreakBefore w:val="0"/>
              <w:kinsoku/>
              <w:wordWrap w:val="0"/>
              <w:bidi w:val="0"/>
              <w:spacing w:line="360" w:lineRule="atLeast"/>
              <w:jc w:val="center"/>
              <w:rPr>
                <w:rFonts w:hint="default" w:ascii="Times New Roman" w:hAnsi="Times New Roman" w:cs="Times New Roman"/>
                <w:szCs w:val="21"/>
                <w:highlight w:val="none"/>
              </w:rPr>
            </w:pPr>
          </w:p>
        </w:tc>
      </w:tr>
      <w:tr w14:paraId="091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5836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603-1</w:t>
            </w:r>
          </w:p>
        </w:tc>
        <w:tc>
          <w:tcPr>
            <w:tcW w:w="4732" w:type="dxa"/>
            <w:noWrap w:val="0"/>
            <w:vAlign w:val="center"/>
          </w:tcPr>
          <w:p w14:paraId="676C289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钢板网隔离栅</w:t>
            </w:r>
          </w:p>
        </w:tc>
        <w:tc>
          <w:tcPr>
            <w:tcW w:w="749" w:type="dxa"/>
            <w:noWrap w:val="0"/>
            <w:vAlign w:val="center"/>
          </w:tcPr>
          <w:p w14:paraId="5B0210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637B5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8319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3CE79A">
            <w:pPr>
              <w:pageBreakBefore w:val="0"/>
              <w:kinsoku/>
              <w:wordWrap w:val="0"/>
              <w:bidi w:val="0"/>
              <w:spacing w:line="360" w:lineRule="atLeast"/>
              <w:jc w:val="center"/>
              <w:rPr>
                <w:rFonts w:hint="default" w:ascii="Times New Roman" w:hAnsi="Times New Roman" w:cs="Times New Roman"/>
                <w:szCs w:val="21"/>
                <w:highlight w:val="none"/>
              </w:rPr>
            </w:pPr>
          </w:p>
        </w:tc>
      </w:tr>
      <w:tr w14:paraId="74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8E3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603-2</w:t>
            </w:r>
          </w:p>
        </w:tc>
        <w:tc>
          <w:tcPr>
            <w:tcW w:w="4732" w:type="dxa"/>
            <w:noWrap w:val="0"/>
            <w:vAlign w:val="center"/>
          </w:tcPr>
          <w:p w14:paraId="59314A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编织网隔离栅</w:t>
            </w:r>
          </w:p>
        </w:tc>
        <w:tc>
          <w:tcPr>
            <w:tcW w:w="749" w:type="dxa"/>
            <w:noWrap w:val="0"/>
            <w:vAlign w:val="center"/>
          </w:tcPr>
          <w:p w14:paraId="190905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7C59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EA5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86492">
            <w:pPr>
              <w:pageBreakBefore w:val="0"/>
              <w:kinsoku/>
              <w:wordWrap w:val="0"/>
              <w:bidi w:val="0"/>
              <w:spacing w:line="360" w:lineRule="atLeast"/>
              <w:jc w:val="center"/>
              <w:rPr>
                <w:rFonts w:hint="default" w:ascii="Times New Roman" w:hAnsi="Times New Roman" w:cs="Times New Roman"/>
                <w:szCs w:val="21"/>
                <w:highlight w:val="none"/>
              </w:rPr>
            </w:pPr>
          </w:p>
        </w:tc>
      </w:tr>
      <w:tr w14:paraId="176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8ED4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603-3</w:t>
            </w:r>
          </w:p>
        </w:tc>
        <w:tc>
          <w:tcPr>
            <w:tcW w:w="4732" w:type="dxa"/>
            <w:noWrap w:val="0"/>
            <w:vAlign w:val="center"/>
          </w:tcPr>
          <w:p w14:paraId="328350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焊接网隔离栅</w:t>
            </w:r>
          </w:p>
        </w:tc>
        <w:tc>
          <w:tcPr>
            <w:tcW w:w="749" w:type="dxa"/>
            <w:noWrap w:val="0"/>
            <w:vAlign w:val="center"/>
          </w:tcPr>
          <w:p w14:paraId="39A425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AC3D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D39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7D4DFA">
            <w:pPr>
              <w:pageBreakBefore w:val="0"/>
              <w:kinsoku/>
              <w:wordWrap w:val="0"/>
              <w:bidi w:val="0"/>
              <w:spacing w:line="360" w:lineRule="atLeast"/>
              <w:jc w:val="center"/>
              <w:rPr>
                <w:rFonts w:hint="default" w:ascii="Times New Roman" w:hAnsi="Times New Roman" w:cs="Times New Roman"/>
                <w:szCs w:val="21"/>
                <w:highlight w:val="none"/>
              </w:rPr>
            </w:pPr>
          </w:p>
        </w:tc>
      </w:tr>
      <w:tr w14:paraId="5D64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1184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603-4</w:t>
            </w:r>
          </w:p>
        </w:tc>
        <w:tc>
          <w:tcPr>
            <w:tcW w:w="4732" w:type="dxa"/>
            <w:noWrap w:val="0"/>
            <w:vAlign w:val="center"/>
          </w:tcPr>
          <w:p w14:paraId="050D96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刺钢丝网隔离栅</w:t>
            </w:r>
          </w:p>
        </w:tc>
        <w:tc>
          <w:tcPr>
            <w:tcW w:w="749" w:type="dxa"/>
            <w:noWrap w:val="0"/>
            <w:vAlign w:val="center"/>
          </w:tcPr>
          <w:p w14:paraId="587ED4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513D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6DD1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E2FEE">
            <w:pPr>
              <w:pageBreakBefore w:val="0"/>
              <w:kinsoku/>
              <w:wordWrap w:val="0"/>
              <w:bidi w:val="0"/>
              <w:spacing w:line="360" w:lineRule="atLeast"/>
              <w:jc w:val="center"/>
              <w:rPr>
                <w:rFonts w:hint="default" w:ascii="Times New Roman" w:hAnsi="Times New Roman" w:cs="Times New Roman"/>
                <w:szCs w:val="21"/>
                <w:highlight w:val="none"/>
              </w:rPr>
            </w:pPr>
          </w:p>
        </w:tc>
      </w:tr>
      <w:tr w14:paraId="652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EE33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603-5</w:t>
            </w:r>
          </w:p>
        </w:tc>
        <w:tc>
          <w:tcPr>
            <w:tcW w:w="4732" w:type="dxa"/>
            <w:noWrap w:val="0"/>
            <w:vAlign w:val="center"/>
          </w:tcPr>
          <w:p w14:paraId="5B4362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防落物网</w:t>
            </w:r>
          </w:p>
        </w:tc>
        <w:tc>
          <w:tcPr>
            <w:tcW w:w="749" w:type="dxa"/>
            <w:noWrap w:val="0"/>
            <w:vAlign w:val="center"/>
          </w:tcPr>
          <w:p w14:paraId="5682F4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40AB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98B8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4F20E0">
            <w:pPr>
              <w:pageBreakBefore w:val="0"/>
              <w:kinsoku/>
              <w:wordWrap w:val="0"/>
              <w:bidi w:val="0"/>
              <w:spacing w:line="360" w:lineRule="atLeast"/>
              <w:jc w:val="center"/>
              <w:rPr>
                <w:rFonts w:hint="default" w:ascii="Times New Roman" w:hAnsi="Times New Roman" w:cs="Times New Roman"/>
                <w:szCs w:val="21"/>
                <w:highlight w:val="none"/>
              </w:rPr>
            </w:pPr>
          </w:p>
        </w:tc>
      </w:tr>
      <w:tr w14:paraId="73B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F639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w:t>
            </w:r>
          </w:p>
        </w:tc>
        <w:tc>
          <w:tcPr>
            <w:tcW w:w="4732" w:type="dxa"/>
            <w:noWrap w:val="0"/>
            <w:vAlign w:val="center"/>
          </w:tcPr>
          <w:p w14:paraId="1D22DCE9">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道路交通标志</w:t>
            </w:r>
          </w:p>
        </w:tc>
        <w:tc>
          <w:tcPr>
            <w:tcW w:w="749" w:type="dxa"/>
            <w:noWrap w:val="0"/>
            <w:vAlign w:val="center"/>
          </w:tcPr>
          <w:p w14:paraId="6724547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267B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CC58B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DA482E">
            <w:pPr>
              <w:pageBreakBefore w:val="0"/>
              <w:kinsoku/>
              <w:wordWrap w:val="0"/>
              <w:bidi w:val="0"/>
              <w:spacing w:line="360" w:lineRule="atLeast"/>
              <w:jc w:val="center"/>
              <w:rPr>
                <w:rFonts w:hint="default" w:ascii="Times New Roman" w:hAnsi="Times New Roman" w:cs="Times New Roman"/>
                <w:szCs w:val="21"/>
                <w:highlight w:val="none"/>
              </w:rPr>
            </w:pPr>
          </w:p>
        </w:tc>
      </w:tr>
      <w:tr w14:paraId="0B0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EEC2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w:t>
            </w:r>
          </w:p>
        </w:tc>
        <w:tc>
          <w:tcPr>
            <w:tcW w:w="4732" w:type="dxa"/>
            <w:noWrap w:val="0"/>
            <w:vAlign w:val="center"/>
          </w:tcPr>
          <w:p w14:paraId="1965CA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单柱式交通标志</w:t>
            </w:r>
          </w:p>
        </w:tc>
        <w:tc>
          <w:tcPr>
            <w:tcW w:w="749" w:type="dxa"/>
            <w:noWrap w:val="0"/>
            <w:vAlign w:val="center"/>
          </w:tcPr>
          <w:p w14:paraId="0B7FE6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3F73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02E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55CD7">
            <w:pPr>
              <w:pageBreakBefore w:val="0"/>
              <w:kinsoku/>
              <w:wordWrap w:val="0"/>
              <w:bidi w:val="0"/>
              <w:spacing w:line="360" w:lineRule="atLeast"/>
              <w:jc w:val="center"/>
              <w:rPr>
                <w:rFonts w:hint="default" w:ascii="Times New Roman" w:hAnsi="Times New Roman" w:cs="Times New Roman"/>
                <w:szCs w:val="21"/>
                <w:highlight w:val="none"/>
              </w:rPr>
            </w:pPr>
          </w:p>
        </w:tc>
      </w:tr>
      <w:tr w14:paraId="0FF3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A211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604-2</w:t>
            </w:r>
          </w:p>
        </w:tc>
        <w:tc>
          <w:tcPr>
            <w:tcW w:w="4732" w:type="dxa"/>
            <w:noWrap w:val="0"/>
            <w:vAlign w:val="center"/>
          </w:tcPr>
          <w:p w14:paraId="2E8E907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双柱式交通标志</w:t>
            </w:r>
          </w:p>
        </w:tc>
        <w:tc>
          <w:tcPr>
            <w:tcW w:w="749" w:type="dxa"/>
            <w:noWrap w:val="0"/>
            <w:vAlign w:val="center"/>
          </w:tcPr>
          <w:p w14:paraId="6BEBD2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9A52E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9061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1C5236">
            <w:pPr>
              <w:pageBreakBefore w:val="0"/>
              <w:kinsoku/>
              <w:wordWrap w:val="0"/>
              <w:bidi w:val="0"/>
              <w:spacing w:line="360" w:lineRule="atLeast"/>
              <w:jc w:val="center"/>
              <w:rPr>
                <w:rFonts w:hint="default" w:ascii="Times New Roman" w:hAnsi="Times New Roman" w:cs="Times New Roman"/>
                <w:szCs w:val="21"/>
                <w:highlight w:val="none"/>
              </w:rPr>
            </w:pPr>
          </w:p>
        </w:tc>
      </w:tr>
      <w:tr w14:paraId="387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ADF63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604-3</w:t>
            </w:r>
          </w:p>
        </w:tc>
        <w:tc>
          <w:tcPr>
            <w:tcW w:w="4732" w:type="dxa"/>
            <w:noWrap w:val="0"/>
            <w:vAlign w:val="center"/>
          </w:tcPr>
          <w:p w14:paraId="75B851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三柱式交通标志</w:t>
            </w:r>
          </w:p>
        </w:tc>
        <w:tc>
          <w:tcPr>
            <w:tcW w:w="749" w:type="dxa"/>
            <w:noWrap w:val="0"/>
            <w:vAlign w:val="center"/>
          </w:tcPr>
          <w:p w14:paraId="3DB4C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FEA87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65C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16F359">
            <w:pPr>
              <w:pageBreakBefore w:val="0"/>
              <w:kinsoku/>
              <w:wordWrap w:val="0"/>
              <w:bidi w:val="0"/>
              <w:spacing w:line="360" w:lineRule="atLeast"/>
              <w:jc w:val="center"/>
              <w:rPr>
                <w:rFonts w:hint="default" w:ascii="Times New Roman" w:hAnsi="Times New Roman" w:cs="Times New Roman"/>
                <w:szCs w:val="21"/>
                <w:highlight w:val="none"/>
              </w:rPr>
            </w:pPr>
          </w:p>
        </w:tc>
      </w:tr>
      <w:tr w14:paraId="7230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C9F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604-4</w:t>
            </w:r>
          </w:p>
        </w:tc>
        <w:tc>
          <w:tcPr>
            <w:tcW w:w="4732" w:type="dxa"/>
            <w:noWrap w:val="0"/>
            <w:vAlign w:val="center"/>
          </w:tcPr>
          <w:p w14:paraId="0706EA0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门架式交通标志</w:t>
            </w:r>
          </w:p>
        </w:tc>
        <w:tc>
          <w:tcPr>
            <w:tcW w:w="749" w:type="dxa"/>
            <w:noWrap w:val="0"/>
            <w:vAlign w:val="center"/>
          </w:tcPr>
          <w:p w14:paraId="65E6ED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ADB37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23B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21DAC">
            <w:pPr>
              <w:pageBreakBefore w:val="0"/>
              <w:kinsoku/>
              <w:wordWrap w:val="0"/>
              <w:bidi w:val="0"/>
              <w:spacing w:line="360" w:lineRule="atLeast"/>
              <w:jc w:val="center"/>
              <w:rPr>
                <w:rFonts w:hint="default" w:ascii="Times New Roman" w:hAnsi="Times New Roman" w:cs="Times New Roman"/>
                <w:szCs w:val="21"/>
                <w:highlight w:val="none"/>
              </w:rPr>
            </w:pPr>
          </w:p>
        </w:tc>
      </w:tr>
      <w:tr w14:paraId="6A7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86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604-5</w:t>
            </w:r>
          </w:p>
        </w:tc>
        <w:tc>
          <w:tcPr>
            <w:tcW w:w="4732" w:type="dxa"/>
            <w:noWrap w:val="0"/>
            <w:vAlign w:val="center"/>
          </w:tcPr>
          <w:p w14:paraId="22B732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单悬臂式交通标志</w:t>
            </w:r>
          </w:p>
        </w:tc>
        <w:tc>
          <w:tcPr>
            <w:tcW w:w="749" w:type="dxa"/>
            <w:noWrap w:val="0"/>
            <w:vAlign w:val="center"/>
          </w:tcPr>
          <w:p w14:paraId="79710DB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ABF8F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79D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6DBB8">
            <w:pPr>
              <w:pageBreakBefore w:val="0"/>
              <w:kinsoku/>
              <w:wordWrap w:val="0"/>
              <w:bidi w:val="0"/>
              <w:spacing w:line="360" w:lineRule="atLeast"/>
              <w:jc w:val="center"/>
              <w:rPr>
                <w:rFonts w:hint="default" w:ascii="Times New Roman" w:hAnsi="Times New Roman" w:cs="Times New Roman"/>
                <w:szCs w:val="21"/>
                <w:highlight w:val="none"/>
              </w:rPr>
            </w:pPr>
          </w:p>
        </w:tc>
      </w:tr>
      <w:tr w14:paraId="197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7714A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604-6</w:t>
            </w:r>
          </w:p>
        </w:tc>
        <w:tc>
          <w:tcPr>
            <w:tcW w:w="4732" w:type="dxa"/>
            <w:noWrap w:val="0"/>
            <w:vAlign w:val="center"/>
          </w:tcPr>
          <w:p w14:paraId="7F9570E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双悬臂式交通标志</w:t>
            </w:r>
          </w:p>
        </w:tc>
        <w:tc>
          <w:tcPr>
            <w:tcW w:w="749" w:type="dxa"/>
            <w:noWrap w:val="0"/>
            <w:vAlign w:val="center"/>
          </w:tcPr>
          <w:p w14:paraId="42A06E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72589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EF0A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221B8">
            <w:pPr>
              <w:pageBreakBefore w:val="0"/>
              <w:kinsoku/>
              <w:wordWrap w:val="0"/>
              <w:bidi w:val="0"/>
              <w:spacing w:line="360" w:lineRule="atLeast"/>
              <w:jc w:val="center"/>
              <w:rPr>
                <w:rFonts w:hint="default" w:ascii="Times New Roman" w:hAnsi="Times New Roman" w:cs="Times New Roman"/>
                <w:szCs w:val="21"/>
                <w:highlight w:val="none"/>
              </w:rPr>
            </w:pPr>
          </w:p>
        </w:tc>
      </w:tr>
      <w:tr w14:paraId="73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03DB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604-7</w:t>
            </w:r>
          </w:p>
        </w:tc>
        <w:tc>
          <w:tcPr>
            <w:tcW w:w="4732" w:type="dxa"/>
            <w:noWrap w:val="0"/>
            <w:vAlign w:val="center"/>
          </w:tcPr>
          <w:p w14:paraId="338FEE4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附着式交通标志</w:t>
            </w:r>
          </w:p>
        </w:tc>
        <w:tc>
          <w:tcPr>
            <w:tcW w:w="749" w:type="dxa"/>
            <w:noWrap w:val="0"/>
            <w:vAlign w:val="center"/>
          </w:tcPr>
          <w:p w14:paraId="465C35E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2D28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C116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B45364">
            <w:pPr>
              <w:pageBreakBefore w:val="0"/>
              <w:kinsoku/>
              <w:wordWrap w:val="0"/>
              <w:bidi w:val="0"/>
              <w:spacing w:line="360" w:lineRule="atLeast"/>
              <w:jc w:val="center"/>
              <w:rPr>
                <w:rFonts w:hint="default" w:ascii="Times New Roman" w:hAnsi="Times New Roman" w:cs="Times New Roman"/>
                <w:szCs w:val="21"/>
                <w:highlight w:val="none"/>
              </w:rPr>
            </w:pPr>
          </w:p>
        </w:tc>
      </w:tr>
      <w:tr w14:paraId="6DE9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6771A31F">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72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B6BD8C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6D36CA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302E6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2F744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42F2F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F02EF5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F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E6FE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604-8</w:t>
            </w:r>
          </w:p>
        </w:tc>
        <w:tc>
          <w:tcPr>
            <w:tcW w:w="4732" w:type="dxa"/>
            <w:noWrap w:val="0"/>
            <w:vAlign w:val="center"/>
          </w:tcPr>
          <w:p w14:paraId="111CC0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里程碑</w:t>
            </w:r>
          </w:p>
        </w:tc>
        <w:tc>
          <w:tcPr>
            <w:tcW w:w="749" w:type="dxa"/>
            <w:noWrap w:val="0"/>
            <w:vAlign w:val="center"/>
          </w:tcPr>
          <w:p w14:paraId="0A178E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64C61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BDCD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099DE6">
            <w:pPr>
              <w:pageBreakBefore w:val="0"/>
              <w:kinsoku/>
              <w:wordWrap w:val="0"/>
              <w:bidi w:val="0"/>
              <w:spacing w:line="360" w:lineRule="atLeast"/>
              <w:jc w:val="center"/>
              <w:rPr>
                <w:rFonts w:hint="default" w:ascii="Times New Roman" w:hAnsi="Times New Roman" w:cs="Times New Roman"/>
                <w:szCs w:val="21"/>
                <w:highlight w:val="none"/>
              </w:rPr>
            </w:pPr>
          </w:p>
        </w:tc>
      </w:tr>
      <w:tr w14:paraId="354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B2F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604-9</w:t>
            </w:r>
          </w:p>
        </w:tc>
        <w:tc>
          <w:tcPr>
            <w:tcW w:w="4732" w:type="dxa"/>
            <w:noWrap w:val="0"/>
            <w:vAlign w:val="center"/>
          </w:tcPr>
          <w:p w14:paraId="3453E8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公路界碑</w:t>
            </w:r>
          </w:p>
        </w:tc>
        <w:tc>
          <w:tcPr>
            <w:tcW w:w="749" w:type="dxa"/>
            <w:noWrap w:val="0"/>
            <w:vAlign w:val="center"/>
          </w:tcPr>
          <w:p w14:paraId="17270B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B3BF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08FE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90244C">
            <w:pPr>
              <w:pageBreakBefore w:val="0"/>
              <w:kinsoku/>
              <w:wordWrap w:val="0"/>
              <w:bidi w:val="0"/>
              <w:spacing w:line="360" w:lineRule="atLeast"/>
              <w:jc w:val="center"/>
              <w:rPr>
                <w:rFonts w:hint="default" w:ascii="Times New Roman" w:hAnsi="Times New Roman" w:cs="Times New Roman"/>
                <w:szCs w:val="21"/>
                <w:highlight w:val="none"/>
              </w:rPr>
            </w:pPr>
          </w:p>
        </w:tc>
      </w:tr>
      <w:tr w14:paraId="161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4FED7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604-10</w:t>
            </w:r>
          </w:p>
        </w:tc>
        <w:tc>
          <w:tcPr>
            <w:tcW w:w="4732" w:type="dxa"/>
            <w:noWrap w:val="0"/>
            <w:vAlign w:val="center"/>
          </w:tcPr>
          <w:p w14:paraId="36351E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百米桩</w:t>
            </w:r>
          </w:p>
        </w:tc>
        <w:tc>
          <w:tcPr>
            <w:tcW w:w="749" w:type="dxa"/>
            <w:noWrap w:val="0"/>
            <w:vAlign w:val="center"/>
          </w:tcPr>
          <w:p w14:paraId="2E4732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0CD7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5C95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713AF">
            <w:pPr>
              <w:pageBreakBefore w:val="0"/>
              <w:kinsoku/>
              <w:wordWrap w:val="0"/>
              <w:bidi w:val="0"/>
              <w:spacing w:line="360" w:lineRule="atLeast"/>
              <w:jc w:val="center"/>
              <w:rPr>
                <w:rFonts w:hint="default" w:ascii="Times New Roman" w:hAnsi="Times New Roman" w:cs="Times New Roman"/>
                <w:szCs w:val="21"/>
                <w:highlight w:val="none"/>
              </w:rPr>
            </w:pPr>
          </w:p>
        </w:tc>
      </w:tr>
      <w:tr w14:paraId="409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33F9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604-11</w:t>
            </w:r>
          </w:p>
        </w:tc>
        <w:tc>
          <w:tcPr>
            <w:tcW w:w="4732" w:type="dxa"/>
            <w:noWrap w:val="0"/>
            <w:vAlign w:val="center"/>
          </w:tcPr>
          <w:p w14:paraId="0AB50FF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防撞桶</w:t>
            </w:r>
          </w:p>
        </w:tc>
        <w:tc>
          <w:tcPr>
            <w:tcW w:w="749" w:type="dxa"/>
            <w:noWrap w:val="0"/>
            <w:vAlign w:val="center"/>
          </w:tcPr>
          <w:p w14:paraId="687430F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DF6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C4B9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39AA0C">
            <w:pPr>
              <w:pageBreakBefore w:val="0"/>
              <w:kinsoku/>
              <w:wordWrap w:val="0"/>
              <w:bidi w:val="0"/>
              <w:spacing w:line="360" w:lineRule="atLeast"/>
              <w:jc w:val="center"/>
              <w:rPr>
                <w:rFonts w:hint="default" w:ascii="Times New Roman" w:hAnsi="Times New Roman" w:cs="Times New Roman"/>
                <w:szCs w:val="21"/>
                <w:highlight w:val="none"/>
              </w:rPr>
            </w:pPr>
          </w:p>
        </w:tc>
      </w:tr>
      <w:tr w14:paraId="095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1F53A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604-12</w:t>
            </w:r>
          </w:p>
        </w:tc>
        <w:tc>
          <w:tcPr>
            <w:tcW w:w="4732" w:type="dxa"/>
            <w:noWrap w:val="0"/>
            <w:vAlign w:val="center"/>
          </w:tcPr>
          <w:p w14:paraId="3E4F05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锥形桶</w:t>
            </w:r>
          </w:p>
        </w:tc>
        <w:tc>
          <w:tcPr>
            <w:tcW w:w="749" w:type="dxa"/>
            <w:noWrap w:val="0"/>
            <w:vAlign w:val="center"/>
          </w:tcPr>
          <w:p w14:paraId="013BBF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E386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055F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AA8F5C">
            <w:pPr>
              <w:pageBreakBefore w:val="0"/>
              <w:kinsoku/>
              <w:wordWrap w:val="0"/>
              <w:bidi w:val="0"/>
              <w:spacing w:line="360" w:lineRule="atLeast"/>
              <w:jc w:val="center"/>
              <w:rPr>
                <w:rFonts w:hint="default" w:ascii="Times New Roman" w:hAnsi="Times New Roman" w:cs="Times New Roman"/>
                <w:szCs w:val="21"/>
                <w:highlight w:val="none"/>
              </w:rPr>
            </w:pPr>
          </w:p>
        </w:tc>
      </w:tr>
      <w:tr w14:paraId="1A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7BE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604-13</w:t>
            </w:r>
          </w:p>
        </w:tc>
        <w:tc>
          <w:tcPr>
            <w:tcW w:w="4732" w:type="dxa"/>
            <w:noWrap w:val="0"/>
            <w:vAlign w:val="center"/>
          </w:tcPr>
          <w:p w14:paraId="3229E8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道路反光镜</w:t>
            </w:r>
          </w:p>
        </w:tc>
        <w:tc>
          <w:tcPr>
            <w:tcW w:w="749" w:type="dxa"/>
            <w:noWrap w:val="0"/>
            <w:vAlign w:val="center"/>
          </w:tcPr>
          <w:p w14:paraId="723195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C5055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7886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87078">
            <w:pPr>
              <w:pageBreakBefore w:val="0"/>
              <w:kinsoku/>
              <w:wordWrap w:val="0"/>
              <w:bidi w:val="0"/>
              <w:spacing w:line="360" w:lineRule="atLeast"/>
              <w:jc w:val="center"/>
              <w:rPr>
                <w:rFonts w:hint="default" w:ascii="Times New Roman" w:hAnsi="Times New Roman" w:cs="Times New Roman"/>
                <w:szCs w:val="21"/>
                <w:highlight w:val="none"/>
              </w:rPr>
            </w:pPr>
          </w:p>
        </w:tc>
      </w:tr>
      <w:tr w14:paraId="4D0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275A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w:t>
            </w:r>
          </w:p>
        </w:tc>
        <w:tc>
          <w:tcPr>
            <w:tcW w:w="4732" w:type="dxa"/>
            <w:noWrap w:val="0"/>
            <w:vAlign w:val="center"/>
          </w:tcPr>
          <w:p w14:paraId="231A33B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道路交通标线</w:t>
            </w:r>
          </w:p>
        </w:tc>
        <w:tc>
          <w:tcPr>
            <w:tcW w:w="749" w:type="dxa"/>
            <w:noWrap w:val="0"/>
            <w:vAlign w:val="top"/>
          </w:tcPr>
          <w:p w14:paraId="53FBA0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9613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216F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4EB5BB">
            <w:pPr>
              <w:pageBreakBefore w:val="0"/>
              <w:kinsoku/>
              <w:wordWrap w:val="0"/>
              <w:bidi w:val="0"/>
              <w:spacing w:line="360" w:lineRule="atLeast"/>
              <w:jc w:val="center"/>
              <w:rPr>
                <w:rFonts w:hint="default" w:ascii="Times New Roman" w:hAnsi="Times New Roman" w:cs="Times New Roman"/>
                <w:szCs w:val="21"/>
                <w:highlight w:val="none"/>
              </w:rPr>
            </w:pPr>
          </w:p>
        </w:tc>
      </w:tr>
      <w:tr w14:paraId="577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92A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5-1</w:t>
            </w:r>
          </w:p>
        </w:tc>
        <w:tc>
          <w:tcPr>
            <w:tcW w:w="4732" w:type="dxa"/>
            <w:noWrap w:val="0"/>
            <w:vAlign w:val="top"/>
          </w:tcPr>
          <w:p w14:paraId="2A931F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热熔型涂料路面标线</w:t>
            </w:r>
          </w:p>
        </w:tc>
        <w:tc>
          <w:tcPr>
            <w:tcW w:w="749" w:type="dxa"/>
            <w:noWrap w:val="0"/>
            <w:vAlign w:val="top"/>
          </w:tcPr>
          <w:p w14:paraId="53BFC6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E27F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D3F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121C1">
            <w:pPr>
              <w:pageBreakBefore w:val="0"/>
              <w:kinsoku/>
              <w:wordWrap w:val="0"/>
              <w:bidi w:val="0"/>
              <w:spacing w:line="360" w:lineRule="atLeast"/>
              <w:jc w:val="center"/>
              <w:rPr>
                <w:rFonts w:hint="default" w:ascii="Times New Roman" w:hAnsi="Times New Roman" w:cs="Times New Roman"/>
                <w:szCs w:val="21"/>
                <w:highlight w:val="none"/>
              </w:rPr>
            </w:pPr>
          </w:p>
        </w:tc>
      </w:tr>
      <w:tr w14:paraId="2BA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111AF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07375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49D931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87915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FBA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09FE9A4">
            <w:pPr>
              <w:pageBreakBefore w:val="0"/>
              <w:kinsoku/>
              <w:wordWrap w:val="0"/>
              <w:bidi w:val="0"/>
              <w:spacing w:line="360" w:lineRule="atLeast"/>
              <w:jc w:val="center"/>
              <w:rPr>
                <w:rFonts w:hint="default" w:ascii="Times New Roman" w:hAnsi="Times New Roman" w:cs="Times New Roman"/>
                <w:szCs w:val="21"/>
                <w:highlight w:val="none"/>
              </w:rPr>
            </w:pPr>
          </w:p>
        </w:tc>
      </w:tr>
      <w:tr w14:paraId="153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9D4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605-2</w:t>
            </w:r>
          </w:p>
        </w:tc>
        <w:tc>
          <w:tcPr>
            <w:tcW w:w="4732" w:type="dxa"/>
            <w:noWrap w:val="0"/>
            <w:vAlign w:val="center"/>
          </w:tcPr>
          <w:p w14:paraId="01AEF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溶剂型涂料路面标线</w:t>
            </w:r>
          </w:p>
        </w:tc>
        <w:tc>
          <w:tcPr>
            <w:tcW w:w="749" w:type="dxa"/>
            <w:noWrap w:val="0"/>
            <w:vAlign w:val="top"/>
          </w:tcPr>
          <w:p w14:paraId="3ADE4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EAC6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29A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FB3EA1">
            <w:pPr>
              <w:pageBreakBefore w:val="0"/>
              <w:kinsoku/>
              <w:wordWrap w:val="0"/>
              <w:bidi w:val="0"/>
              <w:spacing w:line="360" w:lineRule="atLeast"/>
              <w:jc w:val="center"/>
              <w:rPr>
                <w:rFonts w:hint="default" w:ascii="Times New Roman" w:hAnsi="Times New Roman" w:cs="Times New Roman"/>
                <w:szCs w:val="21"/>
                <w:highlight w:val="none"/>
              </w:rPr>
            </w:pPr>
          </w:p>
        </w:tc>
      </w:tr>
      <w:tr w14:paraId="1F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6277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341AA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371F366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AACD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499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9CFEF">
            <w:pPr>
              <w:pageBreakBefore w:val="0"/>
              <w:kinsoku/>
              <w:wordWrap w:val="0"/>
              <w:bidi w:val="0"/>
              <w:spacing w:line="360" w:lineRule="atLeast"/>
              <w:jc w:val="center"/>
              <w:rPr>
                <w:rFonts w:hint="default" w:ascii="Times New Roman" w:hAnsi="Times New Roman" w:cs="Times New Roman"/>
                <w:szCs w:val="21"/>
                <w:highlight w:val="none"/>
              </w:rPr>
            </w:pPr>
          </w:p>
        </w:tc>
      </w:tr>
      <w:tr w14:paraId="45D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983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605-3</w:t>
            </w:r>
          </w:p>
        </w:tc>
        <w:tc>
          <w:tcPr>
            <w:tcW w:w="4732" w:type="dxa"/>
            <w:noWrap w:val="0"/>
            <w:vAlign w:val="center"/>
          </w:tcPr>
          <w:p w14:paraId="795FDAB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预成型标线带</w:t>
            </w:r>
          </w:p>
        </w:tc>
        <w:tc>
          <w:tcPr>
            <w:tcW w:w="749" w:type="dxa"/>
            <w:noWrap w:val="0"/>
            <w:vAlign w:val="top"/>
          </w:tcPr>
          <w:p w14:paraId="7C7E6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0C01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A0C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84E1C6">
            <w:pPr>
              <w:pageBreakBefore w:val="0"/>
              <w:kinsoku/>
              <w:wordWrap w:val="0"/>
              <w:bidi w:val="0"/>
              <w:spacing w:line="360" w:lineRule="atLeast"/>
              <w:jc w:val="center"/>
              <w:rPr>
                <w:rFonts w:hint="default" w:ascii="Times New Roman" w:hAnsi="Times New Roman" w:cs="Times New Roman"/>
                <w:szCs w:val="21"/>
                <w:highlight w:val="none"/>
              </w:rPr>
            </w:pPr>
          </w:p>
        </w:tc>
      </w:tr>
      <w:tr w14:paraId="767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5CEF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EC6C9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847398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ECDB9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84F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C52FCE">
            <w:pPr>
              <w:pageBreakBefore w:val="0"/>
              <w:kinsoku/>
              <w:wordWrap w:val="0"/>
              <w:bidi w:val="0"/>
              <w:spacing w:line="360" w:lineRule="atLeast"/>
              <w:jc w:val="center"/>
              <w:rPr>
                <w:rFonts w:hint="default" w:ascii="Times New Roman" w:hAnsi="Times New Roman" w:cs="Times New Roman"/>
                <w:szCs w:val="21"/>
                <w:highlight w:val="none"/>
              </w:rPr>
            </w:pPr>
          </w:p>
        </w:tc>
      </w:tr>
      <w:tr w14:paraId="4A7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B2EF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5-4</w:t>
            </w:r>
          </w:p>
        </w:tc>
        <w:tc>
          <w:tcPr>
            <w:tcW w:w="4732" w:type="dxa"/>
            <w:noWrap w:val="0"/>
            <w:vAlign w:val="top"/>
          </w:tcPr>
          <w:p w14:paraId="22FFE5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突起路标</w:t>
            </w:r>
          </w:p>
        </w:tc>
        <w:tc>
          <w:tcPr>
            <w:tcW w:w="749" w:type="dxa"/>
            <w:noWrap w:val="0"/>
            <w:vAlign w:val="top"/>
          </w:tcPr>
          <w:p w14:paraId="04ED3FE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4C37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570C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DFC687">
            <w:pPr>
              <w:pageBreakBefore w:val="0"/>
              <w:kinsoku/>
              <w:wordWrap w:val="0"/>
              <w:bidi w:val="0"/>
              <w:spacing w:line="360" w:lineRule="atLeast"/>
              <w:jc w:val="center"/>
              <w:rPr>
                <w:rFonts w:hint="default" w:ascii="Times New Roman" w:hAnsi="Times New Roman" w:cs="Times New Roman"/>
                <w:szCs w:val="21"/>
                <w:highlight w:val="none"/>
              </w:rPr>
            </w:pPr>
          </w:p>
        </w:tc>
      </w:tr>
      <w:tr w14:paraId="0C1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204859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5-5</w:t>
            </w:r>
          </w:p>
        </w:tc>
        <w:tc>
          <w:tcPr>
            <w:tcW w:w="4732" w:type="dxa"/>
            <w:noWrap w:val="0"/>
            <w:vAlign w:val="top"/>
          </w:tcPr>
          <w:p w14:paraId="6D250A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轮廓标</w:t>
            </w:r>
          </w:p>
        </w:tc>
        <w:tc>
          <w:tcPr>
            <w:tcW w:w="749" w:type="dxa"/>
            <w:noWrap w:val="0"/>
            <w:vAlign w:val="top"/>
          </w:tcPr>
          <w:p w14:paraId="0912E5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CE97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2585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DB487">
            <w:pPr>
              <w:pageBreakBefore w:val="0"/>
              <w:kinsoku/>
              <w:wordWrap w:val="0"/>
              <w:bidi w:val="0"/>
              <w:spacing w:line="360" w:lineRule="atLeast"/>
              <w:jc w:val="center"/>
              <w:rPr>
                <w:rFonts w:hint="default" w:ascii="Times New Roman" w:hAnsi="Times New Roman" w:cs="Times New Roman"/>
                <w:szCs w:val="21"/>
                <w:highlight w:val="none"/>
              </w:rPr>
            </w:pPr>
          </w:p>
        </w:tc>
      </w:tr>
      <w:tr w14:paraId="6B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noWrap w:val="0"/>
            <w:vAlign w:val="top"/>
          </w:tcPr>
          <w:p w14:paraId="7ECBAA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9A2A83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柱式轮廓标</w:t>
            </w:r>
          </w:p>
        </w:tc>
        <w:tc>
          <w:tcPr>
            <w:tcW w:w="749" w:type="dxa"/>
            <w:noWrap w:val="0"/>
            <w:vAlign w:val="top"/>
          </w:tcPr>
          <w:p w14:paraId="786A5E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322D9F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825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1C2A1">
            <w:pPr>
              <w:pageBreakBefore w:val="0"/>
              <w:kinsoku/>
              <w:wordWrap w:val="0"/>
              <w:bidi w:val="0"/>
              <w:spacing w:line="360" w:lineRule="atLeast"/>
              <w:jc w:val="center"/>
              <w:rPr>
                <w:rFonts w:hint="default" w:ascii="Times New Roman" w:hAnsi="Times New Roman" w:cs="Times New Roman"/>
                <w:szCs w:val="21"/>
                <w:highlight w:val="none"/>
              </w:rPr>
            </w:pPr>
          </w:p>
        </w:tc>
      </w:tr>
      <w:tr w14:paraId="5E6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0DDB3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0158293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附着式轮廓标</w:t>
            </w:r>
          </w:p>
        </w:tc>
        <w:tc>
          <w:tcPr>
            <w:tcW w:w="749" w:type="dxa"/>
            <w:noWrap w:val="0"/>
            <w:vAlign w:val="top"/>
          </w:tcPr>
          <w:p w14:paraId="10C40DB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38C2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7C60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D08ACD">
            <w:pPr>
              <w:pageBreakBefore w:val="0"/>
              <w:kinsoku/>
              <w:wordWrap w:val="0"/>
              <w:bidi w:val="0"/>
              <w:spacing w:line="360" w:lineRule="atLeast"/>
              <w:jc w:val="center"/>
              <w:rPr>
                <w:rFonts w:hint="default" w:ascii="Times New Roman" w:hAnsi="Times New Roman" w:cs="Times New Roman"/>
                <w:szCs w:val="21"/>
                <w:highlight w:val="none"/>
              </w:rPr>
            </w:pPr>
          </w:p>
        </w:tc>
      </w:tr>
      <w:tr w14:paraId="67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760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605-6</w:t>
            </w:r>
          </w:p>
        </w:tc>
        <w:tc>
          <w:tcPr>
            <w:tcW w:w="4732" w:type="dxa"/>
            <w:noWrap w:val="0"/>
            <w:vAlign w:val="center"/>
          </w:tcPr>
          <w:p w14:paraId="0AC0C37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立面标记</w:t>
            </w:r>
          </w:p>
        </w:tc>
        <w:tc>
          <w:tcPr>
            <w:tcW w:w="749" w:type="dxa"/>
            <w:noWrap w:val="0"/>
            <w:vAlign w:val="center"/>
          </w:tcPr>
          <w:p w14:paraId="62121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750E22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1364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6A3134">
            <w:pPr>
              <w:pageBreakBefore w:val="0"/>
              <w:kinsoku/>
              <w:wordWrap w:val="0"/>
              <w:bidi w:val="0"/>
              <w:spacing w:line="360" w:lineRule="atLeast"/>
              <w:jc w:val="center"/>
              <w:rPr>
                <w:rFonts w:hint="default" w:ascii="Times New Roman" w:hAnsi="Times New Roman" w:cs="Times New Roman"/>
                <w:szCs w:val="21"/>
                <w:highlight w:val="none"/>
              </w:rPr>
            </w:pPr>
          </w:p>
        </w:tc>
      </w:tr>
      <w:tr w14:paraId="2EE3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35AE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605-7</w:t>
            </w:r>
          </w:p>
        </w:tc>
        <w:tc>
          <w:tcPr>
            <w:tcW w:w="4732" w:type="dxa"/>
            <w:noWrap w:val="0"/>
            <w:vAlign w:val="center"/>
          </w:tcPr>
          <w:p w14:paraId="5B519A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锥形路标</w:t>
            </w:r>
          </w:p>
        </w:tc>
        <w:tc>
          <w:tcPr>
            <w:tcW w:w="749" w:type="dxa"/>
            <w:noWrap w:val="0"/>
            <w:vAlign w:val="center"/>
          </w:tcPr>
          <w:p w14:paraId="26CE99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EF4B7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D50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6E3CD9">
            <w:pPr>
              <w:pageBreakBefore w:val="0"/>
              <w:kinsoku/>
              <w:wordWrap w:val="0"/>
              <w:bidi w:val="0"/>
              <w:spacing w:line="360" w:lineRule="atLeast"/>
              <w:jc w:val="center"/>
              <w:rPr>
                <w:rFonts w:hint="default" w:ascii="Times New Roman" w:hAnsi="Times New Roman" w:cs="Times New Roman"/>
                <w:szCs w:val="21"/>
                <w:highlight w:val="none"/>
              </w:rPr>
            </w:pPr>
          </w:p>
        </w:tc>
      </w:tr>
      <w:tr w14:paraId="56E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93B2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605-8</w:t>
            </w:r>
          </w:p>
        </w:tc>
        <w:tc>
          <w:tcPr>
            <w:tcW w:w="4732" w:type="dxa"/>
            <w:noWrap w:val="0"/>
            <w:vAlign w:val="center"/>
          </w:tcPr>
          <w:p w14:paraId="3A04C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减速带</w:t>
            </w:r>
          </w:p>
        </w:tc>
        <w:tc>
          <w:tcPr>
            <w:tcW w:w="749" w:type="dxa"/>
            <w:noWrap w:val="0"/>
            <w:vAlign w:val="center"/>
          </w:tcPr>
          <w:p w14:paraId="111DB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AF0E0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49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F867">
            <w:pPr>
              <w:pageBreakBefore w:val="0"/>
              <w:kinsoku/>
              <w:wordWrap w:val="0"/>
              <w:bidi w:val="0"/>
              <w:spacing w:line="360" w:lineRule="atLeast"/>
              <w:jc w:val="center"/>
              <w:rPr>
                <w:rFonts w:hint="default" w:ascii="Times New Roman" w:hAnsi="Times New Roman" w:cs="Times New Roman"/>
                <w:szCs w:val="21"/>
                <w:highlight w:val="none"/>
              </w:rPr>
            </w:pPr>
          </w:p>
        </w:tc>
      </w:tr>
      <w:tr w14:paraId="4F3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605-9</w:t>
            </w:r>
          </w:p>
        </w:tc>
        <w:tc>
          <w:tcPr>
            <w:tcW w:w="4732" w:type="dxa"/>
            <w:noWrap w:val="0"/>
            <w:vAlign w:val="center"/>
          </w:tcPr>
          <w:p w14:paraId="23863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铲除原有路面标线</w:t>
            </w:r>
          </w:p>
        </w:tc>
        <w:tc>
          <w:tcPr>
            <w:tcW w:w="749" w:type="dxa"/>
            <w:noWrap w:val="0"/>
            <w:vAlign w:val="center"/>
          </w:tcPr>
          <w:p w14:paraId="423444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428C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AA57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12213F">
            <w:pPr>
              <w:pageBreakBefore w:val="0"/>
              <w:kinsoku/>
              <w:wordWrap w:val="0"/>
              <w:bidi w:val="0"/>
              <w:spacing w:line="360" w:lineRule="atLeast"/>
              <w:jc w:val="center"/>
              <w:rPr>
                <w:rFonts w:hint="default" w:ascii="Times New Roman" w:hAnsi="Times New Roman" w:cs="Times New Roman"/>
                <w:szCs w:val="21"/>
                <w:highlight w:val="none"/>
              </w:rPr>
            </w:pPr>
          </w:p>
        </w:tc>
      </w:tr>
      <w:tr w14:paraId="6F7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E21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w:t>
            </w:r>
          </w:p>
        </w:tc>
        <w:tc>
          <w:tcPr>
            <w:tcW w:w="4732" w:type="dxa"/>
            <w:noWrap w:val="0"/>
            <w:vAlign w:val="center"/>
          </w:tcPr>
          <w:p w14:paraId="01B66B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防眩设施</w:t>
            </w:r>
          </w:p>
        </w:tc>
        <w:tc>
          <w:tcPr>
            <w:tcW w:w="749" w:type="dxa"/>
            <w:noWrap w:val="0"/>
            <w:vAlign w:val="center"/>
          </w:tcPr>
          <w:p w14:paraId="152E8D9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F4251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138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3C4F36">
            <w:pPr>
              <w:pageBreakBefore w:val="0"/>
              <w:kinsoku/>
              <w:wordWrap w:val="0"/>
              <w:bidi w:val="0"/>
              <w:spacing w:line="360" w:lineRule="atLeast"/>
              <w:jc w:val="center"/>
              <w:rPr>
                <w:rFonts w:hint="default" w:ascii="Times New Roman" w:hAnsi="Times New Roman" w:cs="Times New Roman"/>
                <w:szCs w:val="21"/>
                <w:highlight w:val="none"/>
              </w:rPr>
            </w:pPr>
          </w:p>
        </w:tc>
      </w:tr>
      <w:tr w14:paraId="471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4FA7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606-1</w:t>
            </w:r>
          </w:p>
        </w:tc>
        <w:tc>
          <w:tcPr>
            <w:tcW w:w="4732" w:type="dxa"/>
            <w:noWrap w:val="0"/>
            <w:vAlign w:val="center"/>
          </w:tcPr>
          <w:p w14:paraId="1678FDE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防眩板</w:t>
            </w:r>
          </w:p>
        </w:tc>
        <w:tc>
          <w:tcPr>
            <w:tcW w:w="749" w:type="dxa"/>
            <w:noWrap w:val="0"/>
            <w:vAlign w:val="center"/>
          </w:tcPr>
          <w:p w14:paraId="28055B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块</w:t>
            </w:r>
          </w:p>
        </w:tc>
        <w:tc>
          <w:tcPr>
            <w:tcW w:w="837" w:type="dxa"/>
            <w:noWrap w:val="0"/>
            <w:vAlign w:val="center"/>
          </w:tcPr>
          <w:p w14:paraId="0871C5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D12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1217D2">
            <w:pPr>
              <w:pageBreakBefore w:val="0"/>
              <w:kinsoku/>
              <w:wordWrap w:val="0"/>
              <w:bidi w:val="0"/>
              <w:spacing w:line="360" w:lineRule="atLeast"/>
              <w:jc w:val="center"/>
              <w:rPr>
                <w:rFonts w:hint="default" w:ascii="Times New Roman" w:hAnsi="Times New Roman" w:cs="Times New Roman"/>
                <w:szCs w:val="21"/>
                <w:highlight w:val="none"/>
              </w:rPr>
            </w:pPr>
          </w:p>
        </w:tc>
      </w:tr>
      <w:tr w14:paraId="216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D8D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606-2</w:t>
            </w:r>
          </w:p>
        </w:tc>
        <w:tc>
          <w:tcPr>
            <w:tcW w:w="4732" w:type="dxa"/>
            <w:noWrap w:val="0"/>
            <w:vAlign w:val="center"/>
          </w:tcPr>
          <w:p w14:paraId="2EF7EFD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防眩网</w:t>
            </w:r>
          </w:p>
        </w:tc>
        <w:tc>
          <w:tcPr>
            <w:tcW w:w="749" w:type="dxa"/>
            <w:noWrap w:val="0"/>
            <w:vAlign w:val="center"/>
          </w:tcPr>
          <w:p w14:paraId="050873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4D36B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A47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5B02E4">
            <w:pPr>
              <w:pageBreakBefore w:val="0"/>
              <w:kinsoku/>
              <w:wordWrap w:val="0"/>
              <w:bidi w:val="0"/>
              <w:spacing w:line="360" w:lineRule="atLeast"/>
              <w:jc w:val="center"/>
              <w:rPr>
                <w:rFonts w:hint="default" w:ascii="Times New Roman" w:hAnsi="Times New Roman" w:cs="Times New Roman"/>
                <w:szCs w:val="21"/>
                <w:highlight w:val="none"/>
              </w:rPr>
            </w:pPr>
          </w:p>
        </w:tc>
      </w:tr>
      <w:tr w14:paraId="07A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F0B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607</w:t>
            </w:r>
          </w:p>
        </w:tc>
        <w:tc>
          <w:tcPr>
            <w:tcW w:w="4732" w:type="dxa"/>
            <w:noWrap w:val="0"/>
            <w:vAlign w:val="center"/>
          </w:tcPr>
          <w:p w14:paraId="364B70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通信和电力管道与预埋（预留）基础</w:t>
            </w:r>
          </w:p>
        </w:tc>
        <w:tc>
          <w:tcPr>
            <w:tcW w:w="749" w:type="dxa"/>
            <w:noWrap w:val="0"/>
            <w:vAlign w:val="top"/>
          </w:tcPr>
          <w:p w14:paraId="3750F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C58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D4E5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681AE7">
            <w:pPr>
              <w:pageBreakBefore w:val="0"/>
              <w:kinsoku/>
              <w:wordWrap w:val="0"/>
              <w:bidi w:val="0"/>
              <w:spacing w:line="360" w:lineRule="atLeast"/>
              <w:jc w:val="center"/>
              <w:rPr>
                <w:rFonts w:hint="default" w:ascii="Times New Roman" w:hAnsi="Times New Roman" w:cs="Times New Roman"/>
                <w:szCs w:val="21"/>
                <w:highlight w:val="none"/>
              </w:rPr>
            </w:pPr>
          </w:p>
        </w:tc>
      </w:tr>
      <w:tr w14:paraId="479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B80B0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7-1</w:t>
            </w:r>
          </w:p>
        </w:tc>
        <w:tc>
          <w:tcPr>
            <w:tcW w:w="4732" w:type="dxa"/>
            <w:noWrap w:val="0"/>
            <w:vAlign w:val="top"/>
          </w:tcPr>
          <w:p w14:paraId="1B659D4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人（手）孔</w:t>
            </w:r>
          </w:p>
        </w:tc>
        <w:tc>
          <w:tcPr>
            <w:tcW w:w="749" w:type="dxa"/>
            <w:noWrap w:val="0"/>
            <w:vAlign w:val="top"/>
          </w:tcPr>
          <w:p w14:paraId="2CF3AB3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00093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CE78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A644F2">
            <w:pPr>
              <w:pageBreakBefore w:val="0"/>
              <w:kinsoku/>
              <w:wordWrap w:val="0"/>
              <w:bidi w:val="0"/>
              <w:spacing w:line="360" w:lineRule="atLeast"/>
              <w:jc w:val="center"/>
              <w:rPr>
                <w:rFonts w:hint="default" w:ascii="Times New Roman" w:hAnsi="Times New Roman" w:cs="Times New Roman"/>
                <w:szCs w:val="21"/>
                <w:highlight w:val="none"/>
              </w:rPr>
            </w:pPr>
          </w:p>
        </w:tc>
      </w:tr>
      <w:tr w14:paraId="371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D38DA2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7-2</w:t>
            </w:r>
          </w:p>
        </w:tc>
        <w:tc>
          <w:tcPr>
            <w:tcW w:w="4732" w:type="dxa"/>
            <w:noWrap w:val="0"/>
            <w:vAlign w:val="top"/>
          </w:tcPr>
          <w:p w14:paraId="571815C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紧急电话平台</w:t>
            </w:r>
          </w:p>
        </w:tc>
        <w:tc>
          <w:tcPr>
            <w:tcW w:w="749" w:type="dxa"/>
            <w:noWrap w:val="0"/>
            <w:vAlign w:val="top"/>
          </w:tcPr>
          <w:p w14:paraId="2CA0C80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8F2C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1631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98C034">
            <w:pPr>
              <w:pageBreakBefore w:val="0"/>
              <w:kinsoku/>
              <w:wordWrap w:val="0"/>
              <w:bidi w:val="0"/>
              <w:spacing w:line="360" w:lineRule="atLeast"/>
              <w:jc w:val="center"/>
              <w:rPr>
                <w:rFonts w:hint="default" w:ascii="Times New Roman" w:hAnsi="Times New Roman" w:cs="Times New Roman"/>
                <w:szCs w:val="21"/>
                <w:highlight w:val="none"/>
              </w:rPr>
            </w:pPr>
          </w:p>
        </w:tc>
      </w:tr>
      <w:tr w14:paraId="278C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15CD2E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7-3</w:t>
            </w:r>
          </w:p>
        </w:tc>
        <w:tc>
          <w:tcPr>
            <w:tcW w:w="4732" w:type="dxa"/>
            <w:noWrap w:val="0"/>
            <w:vAlign w:val="top"/>
          </w:tcPr>
          <w:p w14:paraId="5A26E6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管道工程</w:t>
            </w:r>
          </w:p>
        </w:tc>
        <w:tc>
          <w:tcPr>
            <w:tcW w:w="749" w:type="dxa"/>
            <w:noWrap w:val="0"/>
            <w:vAlign w:val="top"/>
          </w:tcPr>
          <w:p w14:paraId="4F63B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93C2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BE8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984C3D">
            <w:pPr>
              <w:pageBreakBefore w:val="0"/>
              <w:kinsoku/>
              <w:wordWrap w:val="0"/>
              <w:bidi w:val="0"/>
              <w:spacing w:line="360" w:lineRule="atLeast"/>
              <w:jc w:val="center"/>
              <w:rPr>
                <w:rFonts w:hint="default" w:ascii="Times New Roman" w:hAnsi="Times New Roman" w:cs="Times New Roman"/>
                <w:szCs w:val="21"/>
                <w:highlight w:val="none"/>
              </w:rPr>
            </w:pPr>
          </w:p>
        </w:tc>
      </w:tr>
      <w:tr w14:paraId="373F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7C11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w:t>
            </w:r>
          </w:p>
        </w:tc>
        <w:tc>
          <w:tcPr>
            <w:tcW w:w="4732" w:type="dxa"/>
            <w:noWrap w:val="0"/>
            <w:vAlign w:val="center"/>
          </w:tcPr>
          <w:p w14:paraId="629EB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收费设施及地下管道</w:t>
            </w:r>
          </w:p>
        </w:tc>
        <w:tc>
          <w:tcPr>
            <w:tcW w:w="749" w:type="dxa"/>
            <w:noWrap w:val="0"/>
            <w:vAlign w:val="top"/>
          </w:tcPr>
          <w:p w14:paraId="791E8D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0D7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975E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AD173">
            <w:pPr>
              <w:pageBreakBefore w:val="0"/>
              <w:kinsoku/>
              <w:wordWrap w:val="0"/>
              <w:bidi w:val="0"/>
              <w:spacing w:line="360" w:lineRule="atLeast"/>
              <w:jc w:val="center"/>
              <w:rPr>
                <w:rFonts w:hint="default" w:ascii="Times New Roman" w:hAnsi="Times New Roman" w:cs="Times New Roman"/>
                <w:szCs w:val="21"/>
                <w:highlight w:val="none"/>
              </w:rPr>
            </w:pPr>
          </w:p>
        </w:tc>
      </w:tr>
      <w:tr w14:paraId="1FB7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4D3F7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608-1</w:t>
            </w:r>
          </w:p>
        </w:tc>
        <w:tc>
          <w:tcPr>
            <w:tcW w:w="4732" w:type="dxa"/>
            <w:noWrap w:val="0"/>
            <w:vAlign w:val="top"/>
          </w:tcPr>
          <w:p w14:paraId="78674FE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收费亭</w:t>
            </w:r>
          </w:p>
        </w:tc>
        <w:tc>
          <w:tcPr>
            <w:tcW w:w="749" w:type="dxa"/>
            <w:noWrap w:val="0"/>
            <w:vAlign w:val="top"/>
          </w:tcPr>
          <w:p w14:paraId="3D9AE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355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E46C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0358D7">
            <w:pPr>
              <w:pageBreakBefore w:val="0"/>
              <w:kinsoku/>
              <w:wordWrap w:val="0"/>
              <w:bidi w:val="0"/>
              <w:spacing w:line="360" w:lineRule="atLeast"/>
              <w:jc w:val="center"/>
              <w:rPr>
                <w:rFonts w:hint="default" w:ascii="Times New Roman" w:hAnsi="Times New Roman" w:cs="Times New Roman"/>
                <w:szCs w:val="21"/>
                <w:highlight w:val="none"/>
              </w:rPr>
            </w:pPr>
          </w:p>
        </w:tc>
      </w:tr>
      <w:tr w14:paraId="4F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EA41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98C7D8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单人收费亭</w:t>
            </w:r>
          </w:p>
        </w:tc>
        <w:tc>
          <w:tcPr>
            <w:tcW w:w="749" w:type="dxa"/>
            <w:noWrap w:val="0"/>
            <w:vAlign w:val="top"/>
          </w:tcPr>
          <w:p w14:paraId="2A5B1B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D4AD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162B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7E5799">
            <w:pPr>
              <w:pageBreakBefore w:val="0"/>
              <w:kinsoku/>
              <w:wordWrap w:val="0"/>
              <w:bidi w:val="0"/>
              <w:spacing w:line="360" w:lineRule="atLeast"/>
              <w:jc w:val="center"/>
              <w:rPr>
                <w:rFonts w:hint="default" w:ascii="Times New Roman" w:hAnsi="Times New Roman" w:cs="Times New Roman"/>
                <w:szCs w:val="21"/>
                <w:highlight w:val="none"/>
              </w:rPr>
            </w:pPr>
          </w:p>
        </w:tc>
      </w:tr>
      <w:tr w14:paraId="7BA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098B6A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4D13A4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双人收费亭</w:t>
            </w:r>
          </w:p>
        </w:tc>
        <w:tc>
          <w:tcPr>
            <w:tcW w:w="749" w:type="dxa"/>
            <w:noWrap w:val="0"/>
            <w:vAlign w:val="top"/>
          </w:tcPr>
          <w:p w14:paraId="7A7DF5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E264F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8E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FD3ED">
            <w:pPr>
              <w:pageBreakBefore w:val="0"/>
              <w:kinsoku/>
              <w:wordWrap w:val="0"/>
              <w:bidi w:val="0"/>
              <w:spacing w:line="360" w:lineRule="atLeast"/>
              <w:jc w:val="center"/>
              <w:rPr>
                <w:rFonts w:hint="default" w:ascii="Times New Roman" w:hAnsi="Times New Roman" w:cs="Times New Roman"/>
                <w:szCs w:val="21"/>
                <w:highlight w:val="none"/>
              </w:rPr>
            </w:pPr>
          </w:p>
        </w:tc>
      </w:tr>
      <w:tr w14:paraId="783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1E51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608-2</w:t>
            </w:r>
          </w:p>
        </w:tc>
        <w:tc>
          <w:tcPr>
            <w:tcW w:w="4732" w:type="dxa"/>
            <w:noWrap w:val="0"/>
            <w:vAlign w:val="top"/>
          </w:tcPr>
          <w:p w14:paraId="308C636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收费天棚</w:t>
            </w:r>
          </w:p>
        </w:tc>
        <w:tc>
          <w:tcPr>
            <w:tcW w:w="749" w:type="dxa"/>
            <w:noWrap w:val="0"/>
            <w:vAlign w:val="top"/>
          </w:tcPr>
          <w:p w14:paraId="1F39783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44368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D652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1EAA84">
            <w:pPr>
              <w:pageBreakBefore w:val="0"/>
              <w:kinsoku/>
              <w:wordWrap w:val="0"/>
              <w:bidi w:val="0"/>
              <w:spacing w:line="360" w:lineRule="atLeast"/>
              <w:jc w:val="center"/>
              <w:rPr>
                <w:rFonts w:hint="default" w:ascii="Times New Roman" w:hAnsi="Times New Roman" w:cs="Times New Roman"/>
                <w:szCs w:val="21"/>
                <w:highlight w:val="none"/>
              </w:rPr>
            </w:pPr>
          </w:p>
        </w:tc>
      </w:tr>
      <w:tr w14:paraId="3BE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8B3804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608-3</w:t>
            </w:r>
          </w:p>
        </w:tc>
        <w:tc>
          <w:tcPr>
            <w:tcW w:w="4732" w:type="dxa"/>
            <w:noWrap w:val="0"/>
            <w:vAlign w:val="top"/>
          </w:tcPr>
          <w:p w14:paraId="74CC24F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收费岛</w:t>
            </w:r>
          </w:p>
        </w:tc>
        <w:tc>
          <w:tcPr>
            <w:tcW w:w="749" w:type="dxa"/>
            <w:noWrap w:val="0"/>
            <w:vAlign w:val="top"/>
          </w:tcPr>
          <w:p w14:paraId="11A55A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FC5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8EBE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C84C9F">
            <w:pPr>
              <w:pageBreakBefore w:val="0"/>
              <w:kinsoku/>
              <w:wordWrap w:val="0"/>
              <w:bidi w:val="0"/>
              <w:spacing w:line="360" w:lineRule="atLeast"/>
              <w:jc w:val="center"/>
              <w:rPr>
                <w:rFonts w:hint="default" w:ascii="Times New Roman" w:hAnsi="Times New Roman" w:cs="Times New Roman"/>
                <w:szCs w:val="21"/>
                <w:highlight w:val="none"/>
              </w:rPr>
            </w:pPr>
          </w:p>
        </w:tc>
      </w:tr>
      <w:tr w14:paraId="57F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A71B5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DB370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单向收费岛</w:t>
            </w:r>
          </w:p>
        </w:tc>
        <w:tc>
          <w:tcPr>
            <w:tcW w:w="749" w:type="dxa"/>
            <w:noWrap w:val="0"/>
            <w:vAlign w:val="top"/>
          </w:tcPr>
          <w:p w14:paraId="4B983F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7C5FB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4CBF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ED7A0">
            <w:pPr>
              <w:pageBreakBefore w:val="0"/>
              <w:kinsoku/>
              <w:wordWrap w:val="0"/>
              <w:bidi w:val="0"/>
              <w:spacing w:line="360" w:lineRule="atLeast"/>
              <w:jc w:val="center"/>
              <w:rPr>
                <w:rFonts w:hint="default" w:ascii="Times New Roman" w:hAnsi="Times New Roman" w:cs="Times New Roman"/>
                <w:szCs w:val="21"/>
                <w:highlight w:val="none"/>
              </w:rPr>
            </w:pPr>
          </w:p>
        </w:tc>
      </w:tr>
      <w:tr w14:paraId="07A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09529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46A29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双向收费岛</w:t>
            </w:r>
          </w:p>
        </w:tc>
        <w:tc>
          <w:tcPr>
            <w:tcW w:w="749" w:type="dxa"/>
            <w:noWrap w:val="0"/>
            <w:vAlign w:val="top"/>
          </w:tcPr>
          <w:p w14:paraId="618EC6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A6A6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4AAD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018A95">
            <w:pPr>
              <w:pageBreakBefore w:val="0"/>
              <w:kinsoku/>
              <w:wordWrap w:val="0"/>
              <w:bidi w:val="0"/>
              <w:spacing w:line="360" w:lineRule="atLeast"/>
              <w:jc w:val="center"/>
              <w:rPr>
                <w:rFonts w:hint="default" w:ascii="Times New Roman" w:hAnsi="Times New Roman" w:cs="Times New Roman"/>
                <w:szCs w:val="21"/>
                <w:highlight w:val="none"/>
              </w:rPr>
            </w:pPr>
          </w:p>
        </w:tc>
      </w:tr>
      <w:tr w14:paraId="02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B72868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608-4</w:t>
            </w:r>
          </w:p>
        </w:tc>
        <w:tc>
          <w:tcPr>
            <w:tcW w:w="4732" w:type="dxa"/>
            <w:noWrap w:val="0"/>
            <w:vAlign w:val="top"/>
          </w:tcPr>
          <w:p w14:paraId="3F11DC4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地下通道</w:t>
            </w:r>
          </w:p>
        </w:tc>
        <w:tc>
          <w:tcPr>
            <w:tcW w:w="749" w:type="dxa"/>
            <w:noWrap w:val="0"/>
            <w:vAlign w:val="top"/>
          </w:tcPr>
          <w:p w14:paraId="425C84E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6C5D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2BC4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B8F84C">
            <w:pPr>
              <w:pageBreakBefore w:val="0"/>
              <w:kinsoku/>
              <w:wordWrap w:val="0"/>
              <w:bidi w:val="0"/>
              <w:spacing w:line="360" w:lineRule="atLeast"/>
              <w:jc w:val="center"/>
              <w:rPr>
                <w:rFonts w:hint="default" w:ascii="Times New Roman" w:hAnsi="Times New Roman" w:cs="Times New Roman"/>
                <w:szCs w:val="21"/>
                <w:highlight w:val="none"/>
              </w:rPr>
            </w:pPr>
          </w:p>
        </w:tc>
      </w:tr>
      <w:tr w14:paraId="149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61E1BD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608-5</w:t>
            </w:r>
          </w:p>
        </w:tc>
        <w:tc>
          <w:tcPr>
            <w:tcW w:w="4732" w:type="dxa"/>
            <w:noWrap w:val="0"/>
            <w:vAlign w:val="top"/>
          </w:tcPr>
          <w:p w14:paraId="3079B47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预埋管线</w:t>
            </w:r>
          </w:p>
        </w:tc>
        <w:tc>
          <w:tcPr>
            <w:tcW w:w="749" w:type="dxa"/>
            <w:noWrap w:val="0"/>
            <w:vAlign w:val="top"/>
          </w:tcPr>
          <w:p w14:paraId="28D17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A57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C85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5E593">
            <w:pPr>
              <w:pageBreakBefore w:val="0"/>
              <w:kinsoku/>
              <w:wordWrap w:val="0"/>
              <w:bidi w:val="0"/>
              <w:spacing w:line="360" w:lineRule="atLeast"/>
              <w:jc w:val="center"/>
              <w:rPr>
                <w:rFonts w:hint="default" w:ascii="Times New Roman" w:hAnsi="Times New Roman" w:cs="Times New Roman"/>
                <w:szCs w:val="21"/>
                <w:highlight w:val="none"/>
              </w:rPr>
            </w:pPr>
          </w:p>
        </w:tc>
      </w:tr>
      <w:tr w14:paraId="071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856EA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037DA2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2CE255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53FC2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AC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73DE27">
            <w:pPr>
              <w:pageBreakBefore w:val="0"/>
              <w:kinsoku/>
              <w:wordWrap w:val="0"/>
              <w:bidi w:val="0"/>
              <w:spacing w:line="360" w:lineRule="atLeast"/>
              <w:jc w:val="center"/>
              <w:rPr>
                <w:rFonts w:hint="default" w:ascii="Times New Roman" w:hAnsi="Times New Roman" w:cs="Times New Roman"/>
                <w:szCs w:val="21"/>
                <w:highlight w:val="none"/>
              </w:rPr>
            </w:pPr>
          </w:p>
        </w:tc>
      </w:tr>
      <w:tr w14:paraId="627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A3809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5E9A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9D2A2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B1558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931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A0E45B">
            <w:pPr>
              <w:pageBreakBefore w:val="0"/>
              <w:kinsoku/>
              <w:wordWrap w:val="0"/>
              <w:bidi w:val="0"/>
              <w:spacing w:line="360" w:lineRule="atLeast"/>
              <w:jc w:val="center"/>
              <w:rPr>
                <w:rFonts w:hint="default" w:ascii="Times New Roman" w:hAnsi="Times New Roman" w:cs="Times New Roman"/>
                <w:szCs w:val="21"/>
                <w:highlight w:val="none"/>
              </w:rPr>
            </w:pPr>
          </w:p>
        </w:tc>
      </w:tr>
      <w:tr w14:paraId="71E6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BCB6A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608-6</w:t>
            </w:r>
          </w:p>
        </w:tc>
        <w:tc>
          <w:tcPr>
            <w:tcW w:w="4732" w:type="dxa"/>
            <w:noWrap w:val="0"/>
            <w:vAlign w:val="top"/>
          </w:tcPr>
          <w:p w14:paraId="52625E8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架设管线</w:t>
            </w:r>
          </w:p>
        </w:tc>
        <w:tc>
          <w:tcPr>
            <w:tcW w:w="749" w:type="dxa"/>
            <w:noWrap w:val="0"/>
            <w:vAlign w:val="top"/>
          </w:tcPr>
          <w:p w14:paraId="78175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A92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F5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F3D8AB">
            <w:pPr>
              <w:pageBreakBefore w:val="0"/>
              <w:kinsoku/>
              <w:wordWrap w:val="0"/>
              <w:bidi w:val="0"/>
              <w:spacing w:line="360" w:lineRule="atLeast"/>
              <w:jc w:val="center"/>
              <w:rPr>
                <w:rFonts w:hint="default" w:ascii="Times New Roman" w:hAnsi="Times New Roman" w:cs="Times New Roman"/>
                <w:szCs w:val="21"/>
                <w:highlight w:val="none"/>
              </w:rPr>
            </w:pPr>
          </w:p>
        </w:tc>
      </w:tr>
      <w:tr w14:paraId="40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479EE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BFE70C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B56B4F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DA8D0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189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EB4534">
            <w:pPr>
              <w:pageBreakBefore w:val="0"/>
              <w:kinsoku/>
              <w:wordWrap w:val="0"/>
              <w:bidi w:val="0"/>
              <w:spacing w:line="360" w:lineRule="atLeast"/>
              <w:jc w:val="center"/>
              <w:rPr>
                <w:rFonts w:hint="default" w:ascii="Times New Roman" w:hAnsi="Times New Roman" w:cs="Times New Roman"/>
                <w:szCs w:val="21"/>
                <w:highlight w:val="none"/>
              </w:rPr>
            </w:pPr>
          </w:p>
        </w:tc>
      </w:tr>
      <w:tr w14:paraId="20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56DF77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73B366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1EE4184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167849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DC7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16BF">
            <w:pPr>
              <w:pageBreakBefore w:val="0"/>
              <w:kinsoku/>
              <w:wordWrap w:val="0"/>
              <w:bidi w:val="0"/>
              <w:spacing w:line="360" w:lineRule="atLeast"/>
              <w:jc w:val="center"/>
              <w:rPr>
                <w:rFonts w:hint="default" w:ascii="Times New Roman" w:hAnsi="Times New Roman" w:cs="Times New Roman"/>
                <w:szCs w:val="21"/>
                <w:highlight w:val="none"/>
              </w:rPr>
            </w:pPr>
          </w:p>
        </w:tc>
      </w:tr>
      <w:tr w14:paraId="3B7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ACD7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1D942E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A12F1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1E42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2DF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5A841C">
            <w:pPr>
              <w:pageBreakBefore w:val="0"/>
              <w:kinsoku/>
              <w:wordWrap w:val="0"/>
              <w:bidi w:val="0"/>
              <w:spacing w:line="360" w:lineRule="atLeast"/>
              <w:jc w:val="center"/>
              <w:rPr>
                <w:rFonts w:hint="default" w:ascii="Times New Roman" w:hAnsi="Times New Roman" w:cs="Times New Roman"/>
                <w:szCs w:val="21"/>
                <w:highlight w:val="none"/>
              </w:rPr>
            </w:pPr>
          </w:p>
        </w:tc>
      </w:tr>
      <w:tr w14:paraId="252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F5C74">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9A63A7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8643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C3A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0172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CB5313">
            <w:pPr>
              <w:pageBreakBefore w:val="0"/>
              <w:kinsoku/>
              <w:wordWrap w:val="0"/>
              <w:bidi w:val="0"/>
              <w:spacing w:line="360" w:lineRule="atLeast"/>
              <w:jc w:val="center"/>
              <w:rPr>
                <w:rFonts w:hint="default" w:ascii="Times New Roman" w:hAnsi="Times New Roman" w:cs="Times New Roman"/>
                <w:szCs w:val="21"/>
                <w:highlight w:val="none"/>
              </w:rPr>
            </w:pPr>
          </w:p>
        </w:tc>
      </w:tr>
      <w:tr w14:paraId="428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EFC707C">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5FBFF8">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71AE48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AC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A46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4005BA">
            <w:pPr>
              <w:pageBreakBefore w:val="0"/>
              <w:kinsoku/>
              <w:wordWrap w:val="0"/>
              <w:bidi w:val="0"/>
              <w:spacing w:line="360" w:lineRule="atLeast"/>
              <w:jc w:val="center"/>
              <w:rPr>
                <w:rFonts w:hint="default" w:ascii="Times New Roman" w:hAnsi="Times New Roman" w:cs="Times New Roman"/>
                <w:szCs w:val="21"/>
                <w:highlight w:val="none"/>
              </w:rPr>
            </w:pPr>
          </w:p>
        </w:tc>
      </w:tr>
      <w:tr w14:paraId="5A2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426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71A6E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2A19C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0C0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FB6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C9DD0">
            <w:pPr>
              <w:pageBreakBefore w:val="0"/>
              <w:kinsoku/>
              <w:wordWrap w:val="0"/>
              <w:bidi w:val="0"/>
              <w:spacing w:line="360" w:lineRule="atLeast"/>
              <w:jc w:val="center"/>
              <w:rPr>
                <w:rFonts w:hint="default" w:ascii="Times New Roman" w:hAnsi="Times New Roman" w:cs="Times New Roman"/>
                <w:szCs w:val="21"/>
                <w:highlight w:val="none"/>
              </w:rPr>
            </w:pPr>
          </w:p>
        </w:tc>
      </w:tr>
      <w:tr w14:paraId="5B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E24C4A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1001B6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00CE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C16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F5D4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C8F724">
            <w:pPr>
              <w:pageBreakBefore w:val="0"/>
              <w:kinsoku/>
              <w:wordWrap w:val="0"/>
              <w:bidi w:val="0"/>
              <w:spacing w:line="360" w:lineRule="atLeast"/>
              <w:jc w:val="center"/>
              <w:rPr>
                <w:rFonts w:hint="default" w:ascii="Times New Roman" w:hAnsi="Times New Roman" w:cs="Times New Roman"/>
                <w:szCs w:val="21"/>
                <w:highlight w:val="none"/>
              </w:rPr>
            </w:pPr>
          </w:p>
        </w:tc>
      </w:tr>
      <w:tr w14:paraId="5D1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83EBB4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F11F72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FA1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975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1E55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5611C7">
            <w:pPr>
              <w:pageBreakBefore w:val="0"/>
              <w:kinsoku/>
              <w:wordWrap w:val="0"/>
              <w:bidi w:val="0"/>
              <w:spacing w:line="360" w:lineRule="atLeast"/>
              <w:jc w:val="center"/>
              <w:rPr>
                <w:rFonts w:hint="default" w:ascii="Times New Roman" w:hAnsi="Times New Roman" w:cs="Times New Roman"/>
                <w:szCs w:val="21"/>
                <w:highlight w:val="none"/>
              </w:rPr>
            </w:pPr>
          </w:p>
        </w:tc>
      </w:tr>
      <w:tr w14:paraId="028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0D35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CF0924">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E4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8F42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7642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C2D6D8">
            <w:pPr>
              <w:pageBreakBefore w:val="0"/>
              <w:kinsoku/>
              <w:wordWrap w:val="0"/>
              <w:bidi w:val="0"/>
              <w:spacing w:line="360" w:lineRule="atLeast"/>
              <w:jc w:val="center"/>
              <w:rPr>
                <w:rFonts w:hint="default" w:ascii="Times New Roman" w:hAnsi="Times New Roman" w:cs="Times New Roman"/>
                <w:szCs w:val="21"/>
                <w:highlight w:val="none"/>
              </w:rPr>
            </w:pPr>
          </w:p>
        </w:tc>
      </w:tr>
      <w:tr w14:paraId="464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45D0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765A99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79F72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58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E21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B95B3B">
            <w:pPr>
              <w:pageBreakBefore w:val="0"/>
              <w:kinsoku/>
              <w:wordWrap w:val="0"/>
              <w:bidi w:val="0"/>
              <w:spacing w:line="360" w:lineRule="atLeast"/>
              <w:jc w:val="center"/>
              <w:rPr>
                <w:rFonts w:hint="default" w:ascii="Times New Roman" w:hAnsi="Times New Roman" w:cs="Times New Roman"/>
                <w:szCs w:val="21"/>
                <w:highlight w:val="none"/>
              </w:rPr>
            </w:pPr>
          </w:p>
        </w:tc>
      </w:tr>
      <w:tr w14:paraId="550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E615A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5F68B0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5B871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826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FD1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B4445">
            <w:pPr>
              <w:pageBreakBefore w:val="0"/>
              <w:kinsoku/>
              <w:wordWrap w:val="0"/>
              <w:bidi w:val="0"/>
              <w:spacing w:line="360" w:lineRule="atLeast"/>
              <w:jc w:val="center"/>
              <w:rPr>
                <w:rFonts w:hint="default" w:ascii="Times New Roman" w:hAnsi="Times New Roman" w:cs="Times New Roman"/>
                <w:szCs w:val="21"/>
                <w:highlight w:val="none"/>
              </w:rPr>
            </w:pPr>
          </w:p>
        </w:tc>
      </w:tr>
      <w:tr w14:paraId="3F3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2D2289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0215BF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414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22A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31D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90F6C8">
            <w:pPr>
              <w:pageBreakBefore w:val="0"/>
              <w:kinsoku/>
              <w:wordWrap w:val="0"/>
              <w:bidi w:val="0"/>
              <w:spacing w:line="360" w:lineRule="atLeast"/>
              <w:jc w:val="center"/>
              <w:rPr>
                <w:rFonts w:hint="default" w:ascii="Times New Roman" w:hAnsi="Times New Roman" w:cs="Times New Roman"/>
                <w:szCs w:val="21"/>
                <w:highlight w:val="none"/>
              </w:rPr>
            </w:pPr>
          </w:p>
        </w:tc>
      </w:tr>
      <w:tr w14:paraId="45A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845BA8">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7E4DDB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CC38D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FD5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C39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3E2F31">
            <w:pPr>
              <w:pageBreakBefore w:val="0"/>
              <w:kinsoku/>
              <w:wordWrap w:val="0"/>
              <w:bidi w:val="0"/>
              <w:spacing w:line="360" w:lineRule="atLeast"/>
              <w:jc w:val="center"/>
              <w:rPr>
                <w:rFonts w:hint="default" w:ascii="Times New Roman" w:hAnsi="Times New Roman" w:cs="Times New Roman"/>
                <w:szCs w:val="21"/>
                <w:highlight w:val="none"/>
              </w:rPr>
            </w:pPr>
          </w:p>
        </w:tc>
      </w:tr>
      <w:tr w14:paraId="7B6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5F67F9">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9CBC3F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30613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E590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D41A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AEB9F6">
            <w:pPr>
              <w:pageBreakBefore w:val="0"/>
              <w:kinsoku/>
              <w:wordWrap w:val="0"/>
              <w:bidi w:val="0"/>
              <w:spacing w:line="360" w:lineRule="atLeast"/>
              <w:jc w:val="center"/>
              <w:rPr>
                <w:rFonts w:hint="default" w:ascii="Times New Roman" w:hAnsi="Times New Roman" w:cs="Times New Roman"/>
                <w:szCs w:val="21"/>
                <w:highlight w:val="none"/>
              </w:rPr>
            </w:pPr>
          </w:p>
        </w:tc>
      </w:tr>
      <w:tr w14:paraId="585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570EC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525BA0B">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0D0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F69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46CC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270F9">
            <w:pPr>
              <w:pageBreakBefore w:val="0"/>
              <w:kinsoku/>
              <w:wordWrap w:val="0"/>
              <w:bidi w:val="0"/>
              <w:spacing w:line="360" w:lineRule="atLeast"/>
              <w:jc w:val="center"/>
              <w:rPr>
                <w:rFonts w:hint="default" w:ascii="Times New Roman" w:hAnsi="Times New Roman" w:cs="Times New Roman"/>
                <w:szCs w:val="21"/>
                <w:highlight w:val="none"/>
              </w:rPr>
            </w:pPr>
          </w:p>
        </w:tc>
      </w:tr>
      <w:tr w14:paraId="7EF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5790DAD">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9BBFDD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715EB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29EE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27CA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8A619B">
            <w:pPr>
              <w:pageBreakBefore w:val="0"/>
              <w:kinsoku/>
              <w:wordWrap w:val="0"/>
              <w:bidi w:val="0"/>
              <w:spacing w:line="360" w:lineRule="atLeast"/>
              <w:jc w:val="center"/>
              <w:rPr>
                <w:rFonts w:hint="default" w:ascii="Times New Roman" w:hAnsi="Times New Roman" w:cs="Times New Roman"/>
                <w:szCs w:val="21"/>
                <w:highlight w:val="none"/>
              </w:rPr>
            </w:pPr>
          </w:p>
        </w:tc>
      </w:tr>
      <w:tr w14:paraId="136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F8B0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08B93EE">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3F7958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4CCB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EBD0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706CAC">
            <w:pPr>
              <w:pageBreakBefore w:val="0"/>
              <w:kinsoku/>
              <w:wordWrap w:val="0"/>
              <w:bidi w:val="0"/>
              <w:spacing w:line="360" w:lineRule="atLeast"/>
              <w:jc w:val="center"/>
              <w:rPr>
                <w:rFonts w:hint="default" w:ascii="Times New Roman" w:hAnsi="Times New Roman" w:cs="Times New Roman"/>
                <w:szCs w:val="21"/>
                <w:highlight w:val="none"/>
              </w:rPr>
            </w:pPr>
          </w:p>
        </w:tc>
      </w:tr>
      <w:tr w14:paraId="785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A8573F">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F4D2641">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B5A3F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A3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BD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00B27B">
            <w:pPr>
              <w:pageBreakBefore w:val="0"/>
              <w:kinsoku/>
              <w:wordWrap w:val="0"/>
              <w:bidi w:val="0"/>
              <w:spacing w:line="360" w:lineRule="atLeast"/>
              <w:jc w:val="center"/>
              <w:rPr>
                <w:rFonts w:hint="default" w:ascii="Times New Roman" w:hAnsi="Times New Roman" w:cs="Times New Roman"/>
                <w:szCs w:val="21"/>
                <w:highlight w:val="none"/>
              </w:rPr>
            </w:pPr>
          </w:p>
        </w:tc>
      </w:tr>
      <w:tr w14:paraId="494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40412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024DEF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AE36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34E2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99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D6A016">
            <w:pPr>
              <w:pageBreakBefore w:val="0"/>
              <w:kinsoku/>
              <w:wordWrap w:val="0"/>
              <w:bidi w:val="0"/>
              <w:spacing w:line="360" w:lineRule="atLeast"/>
              <w:jc w:val="center"/>
              <w:rPr>
                <w:rFonts w:hint="default" w:ascii="Times New Roman" w:hAnsi="Times New Roman" w:cs="Times New Roman"/>
                <w:szCs w:val="21"/>
                <w:highlight w:val="none"/>
              </w:rPr>
            </w:pPr>
          </w:p>
        </w:tc>
      </w:tr>
      <w:tr w14:paraId="4E4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E03E45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02D435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8F70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11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0597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4E9DF">
            <w:pPr>
              <w:pageBreakBefore w:val="0"/>
              <w:kinsoku/>
              <w:wordWrap w:val="0"/>
              <w:bidi w:val="0"/>
              <w:spacing w:line="360" w:lineRule="atLeast"/>
              <w:jc w:val="center"/>
              <w:rPr>
                <w:rFonts w:hint="default" w:ascii="Times New Roman" w:hAnsi="Times New Roman" w:cs="Times New Roman"/>
                <w:szCs w:val="21"/>
                <w:highlight w:val="none"/>
              </w:rPr>
            </w:pPr>
          </w:p>
        </w:tc>
      </w:tr>
      <w:tr w14:paraId="738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421C1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3A4D1CD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D69A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6C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A9D0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E742E">
            <w:pPr>
              <w:pageBreakBefore w:val="0"/>
              <w:kinsoku/>
              <w:wordWrap w:val="0"/>
              <w:bidi w:val="0"/>
              <w:spacing w:line="360" w:lineRule="atLeast"/>
              <w:jc w:val="center"/>
              <w:rPr>
                <w:rFonts w:hint="default" w:ascii="Times New Roman" w:hAnsi="Times New Roman" w:cs="Times New Roman"/>
                <w:szCs w:val="21"/>
                <w:highlight w:val="none"/>
              </w:rPr>
            </w:pPr>
          </w:p>
        </w:tc>
      </w:tr>
      <w:tr w14:paraId="0F0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E91816">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14AE80">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0D3D4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7DD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DDA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6FFCC">
            <w:pPr>
              <w:pageBreakBefore w:val="0"/>
              <w:kinsoku/>
              <w:wordWrap w:val="0"/>
              <w:bidi w:val="0"/>
              <w:spacing w:line="360" w:lineRule="atLeast"/>
              <w:jc w:val="center"/>
              <w:rPr>
                <w:rFonts w:hint="default" w:ascii="Times New Roman" w:hAnsi="Times New Roman" w:cs="Times New Roman"/>
                <w:szCs w:val="21"/>
                <w:highlight w:val="none"/>
              </w:rPr>
            </w:pPr>
          </w:p>
        </w:tc>
      </w:tr>
      <w:tr w14:paraId="300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B2C8C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C4E86CC">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D6EF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285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7017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97E8B5">
            <w:pPr>
              <w:pageBreakBefore w:val="0"/>
              <w:kinsoku/>
              <w:wordWrap w:val="0"/>
              <w:bidi w:val="0"/>
              <w:spacing w:line="360" w:lineRule="atLeast"/>
              <w:jc w:val="center"/>
              <w:rPr>
                <w:rFonts w:hint="default" w:ascii="Times New Roman" w:hAnsi="Times New Roman" w:cs="Times New Roman"/>
                <w:szCs w:val="21"/>
                <w:highlight w:val="none"/>
              </w:rPr>
            </w:pPr>
          </w:p>
        </w:tc>
      </w:tr>
      <w:tr w14:paraId="1FB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CA717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1492E1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95645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536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170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1613E5">
            <w:pPr>
              <w:pageBreakBefore w:val="0"/>
              <w:kinsoku/>
              <w:wordWrap w:val="0"/>
              <w:bidi w:val="0"/>
              <w:spacing w:line="360" w:lineRule="atLeast"/>
              <w:jc w:val="center"/>
              <w:rPr>
                <w:rFonts w:hint="default" w:ascii="Times New Roman" w:hAnsi="Times New Roman" w:cs="Times New Roman"/>
                <w:szCs w:val="21"/>
                <w:highlight w:val="none"/>
              </w:rPr>
            </w:pPr>
          </w:p>
        </w:tc>
      </w:tr>
      <w:tr w14:paraId="5B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2E0C07">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清单第600章合计  人民币</w:t>
            </w:r>
            <w:r>
              <w:rPr>
                <w:rFonts w:hint="default" w:ascii="Times New Roman" w:hAnsi="Times New Roman" w:cs="Times New Roman"/>
                <w:szCs w:val="21"/>
                <w:highlight w:val="none"/>
                <w:u w:val="single"/>
              </w:rPr>
              <w:t xml:space="preserve">                    </w:t>
            </w:r>
          </w:p>
        </w:tc>
      </w:tr>
    </w:tbl>
    <w:p w14:paraId="59094834">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2D5CCC5">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45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F18E75C">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第700章   绿化及环境保护设施</w:t>
            </w:r>
          </w:p>
        </w:tc>
      </w:tr>
      <w:tr w14:paraId="41D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316B38C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29FB7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64E1C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FF18E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0D553E8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DAA4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3A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A8AB1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702</w:t>
            </w:r>
          </w:p>
        </w:tc>
        <w:tc>
          <w:tcPr>
            <w:tcW w:w="4732" w:type="dxa"/>
            <w:noWrap w:val="0"/>
            <w:vAlign w:val="center"/>
          </w:tcPr>
          <w:p w14:paraId="76BC78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铺设表土</w:t>
            </w:r>
          </w:p>
        </w:tc>
        <w:tc>
          <w:tcPr>
            <w:tcW w:w="749" w:type="dxa"/>
            <w:noWrap w:val="0"/>
            <w:vAlign w:val="top"/>
          </w:tcPr>
          <w:p w14:paraId="70581F1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7E008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D8B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327C2A">
            <w:pPr>
              <w:pageBreakBefore w:val="0"/>
              <w:kinsoku/>
              <w:wordWrap w:val="0"/>
              <w:bidi w:val="0"/>
              <w:spacing w:line="340" w:lineRule="atLeast"/>
              <w:jc w:val="center"/>
              <w:rPr>
                <w:rFonts w:hint="default" w:ascii="Times New Roman" w:hAnsi="Times New Roman" w:cs="Times New Roman"/>
                <w:szCs w:val="21"/>
                <w:highlight w:val="none"/>
              </w:rPr>
            </w:pPr>
          </w:p>
        </w:tc>
      </w:tr>
      <w:tr w14:paraId="3B4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A1E53D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702-1</w:t>
            </w:r>
          </w:p>
        </w:tc>
        <w:tc>
          <w:tcPr>
            <w:tcW w:w="4732" w:type="dxa"/>
            <w:noWrap w:val="0"/>
            <w:vAlign w:val="top"/>
          </w:tcPr>
          <w:p w14:paraId="70DBE888">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开挖并铺设表土</w:t>
            </w:r>
          </w:p>
        </w:tc>
        <w:tc>
          <w:tcPr>
            <w:tcW w:w="749" w:type="dxa"/>
            <w:noWrap w:val="0"/>
            <w:vAlign w:val="top"/>
          </w:tcPr>
          <w:p w14:paraId="3F5BF1E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671C4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21323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675D49">
            <w:pPr>
              <w:pageBreakBefore w:val="0"/>
              <w:kinsoku/>
              <w:wordWrap w:val="0"/>
              <w:bidi w:val="0"/>
              <w:spacing w:line="340" w:lineRule="atLeast"/>
              <w:jc w:val="center"/>
              <w:rPr>
                <w:rFonts w:hint="default" w:ascii="Times New Roman" w:hAnsi="Times New Roman" w:cs="Times New Roman"/>
                <w:szCs w:val="21"/>
                <w:highlight w:val="none"/>
              </w:rPr>
            </w:pPr>
          </w:p>
        </w:tc>
      </w:tr>
      <w:tr w14:paraId="370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DA9DC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702-2</w:t>
            </w:r>
          </w:p>
        </w:tc>
        <w:tc>
          <w:tcPr>
            <w:tcW w:w="4732" w:type="dxa"/>
            <w:noWrap w:val="0"/>
            <w:vAlign w:val="top"/>
          </w:tcPr>
          <w:p w14:paraId="3D6991F7">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铺设利用的表土</w:t>
            </w:r>
          </w:p>
        </w:tc>
        <w:tc>
          <w:tcPr>
            <w:tcW w:w="749" w:type="dxa"/>
            <w:noWrap w:val="0"/>
            <w:vAlign w:val="top"/>
          </w:tcPr>
          <w:p w14:paraId="5359A33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58BC5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44C2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4BC5F4">
            <w:pPr>
              <w:pageBreakBefore w:val="0"/>
              <w:kinsoku/>
              <w:wordWrap w:val="0"/>
              <w:bidi w:val="0"/>
              <w:spacing w:line="340" w:lineRule="atLeast"/>
              <w:jc w:val="center"/>
              <w:rPr>
                <w:rFonts w:hint="default" w:ascii="Times New Roman" w:hAnsi="Times New Roman" w:cs="Times New Roman"/>
                <w:szCs w:val="21"/>
                <w:highlight w:val="none"/>
              </w:rPr>
            </w:pPr>
          </w:p>
        </w:tc>
      </w:tr>
      <w:tr w14:paraId="6D6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F1E6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w:t>
            </w:r>
          </w:p>
        </w:tc>
        <w:tc>
          <w:tcPr>
            <w:tcW w:w="4732" w:type="dxa"/>
            <w:noWrap w:val="0"/>
            <w:vAlign w:val="center"/>
          </w:tcPr>
          <w:p w14:paraId="645328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撒播草种和铺植草皮</w:t>
            </w:r>
          </w:p>
        </w:tc>
        <w:tc>
          <w:tcPr>
            <w:tcW w:w="749" w:type="dxa"/>
            <w:noWrap w:val="0"/>
            <w:vAlign w:val="top"/>
          </w:tcPr>
          <w:p w14:paraId="768C6CA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289FB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57CEB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351D72">
            <w:pPr>
              <w:pageBreakBefore w:val="0"/>
              <w:kinsoku/>
              <w:wordWrap w:val="0"/>
              <w:bidi w:val="0"/>
              <w:spacing w:line="340" w:lineRule="atLeast"/>
              <w:jc w:val="center"/>
              <w:rPr>
                <w:rFonts w:hint="default" w:ascii="Times New Roman" w:hAnsi="Times New Roman" w:cs="Times New Roman"/>
                <w:szCs w:val="21"/>
                <w:highlight w:val="none"/>
              </w:rPr>
            </w:pPr>
          </w:p>
        </w:tc>
      </w:tr>
      <w:tr w14:paraId="5D8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997EC0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703-1</w:t>
            </w:r>
          </w:p>
        </w:tc>
        <w:tc>
          <w:tcPr>
            <w:tcW w:w="4732" w:type="dxa"/>
            <w:noWrap w:val="0"/>
            <w:vAlign w:val="top"/>
          </w:tcPr>
          <w:p w14:paraId="4065DFA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撒播草种</w:t>
            </w:r>
            <w:r>
              <w:rPr>
                <w:rFonts w:hint="default" w:ascii="Times New Roman" w:hAnsi="Times New Roman" w:cs="Times New Roman"/>
                <w:kern w:val="0"/>
                <w:szCs w:val="21"/>
                <w:highlight w:val="none"/>
              </w:rPr>
              <w:t>（含喷播）</w:t>
            </w:r>
          </w:p>
        </w:tc>
        <w:tc>
          <w:tcPr>
            <w:tcW w:w="749" w:type="dxa"/>
            <w:noWrap w:val="0"/>
            <w:vAlign w:val="top"/>
          </w:tcPr>
          <w:p w14:paraId="34E515D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2AED3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22D3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1D515">
            <w:pPr>
              <w:pageBreakBefore w:val="0"/>
              <w:kinsoku/>
              <w:wordWrap w:val="0"/>
              <w:bidi w:val="0"/>
              <w:spacing w:line="340" w:lineRule="atLeast"/>
              <w:jc w:val="center"/>
              <w:rPr>
                <w:rFonts w:hint="default" w:ascii="Times New Roman" w:hAnsi="Times New Roman" w:cs="Times New Roman"/>
                <w:szCs w:val="21"/>
                <w:highlight w:val="none"/>
              </w:rPr>
            </w:pPr>
          </w:p>
        </w:tc>
      </w:tr>
      <w:tr w14:paraId="7C1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613D3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703-2</w:t>
            </w:r>
          </w:p>
        </w:tc>
        <w:tc>
          <w:tcPr>
            <w:tcW w:w="4732" w:type="dxa"/>
            <w:noWrap w:val="0"/>
            <w:vAlign w:val="center"/>
          </w:tcPr>
          <w:p w14:paraId="033E934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撒播草种及花卉、灌木籽（含喷播）</w:t>
            </w:r>
          </w:p>
        </w:tc>
        <w:tc>
          <w:tcPr>
            <w:tcW w:w="749" w:type="dxa"/>
            <w:noWrap w:val="0"/>
            <w:vAlign w:val="center"/>
          </w:tcPr>
          <w:p w14:paraId="7EC6326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05A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F58B3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CD7F48">
            <w:pPr>
              <w:pageBreakBefore w:val="0"/>
              <w:kinsoku/>
              <w:wordWrap w:val="0"/>
              <w:bidi w:val="0"/>
              <w:spacing w:line="340" w:lineRule="atLeast"/>
              <w:jc w:val="center"/>
              <w:rPr>
                <w:rFonts w:hint="default" w:ascii="Times New Roman" w:hAnsi="Times New Roman" w:cs="Times New Roman"/>
                <w:szCs w:val="21"/>
                <w:highlight w:val="none"/>
              </w:rPr>
            </w:pPr>
          </w:p>
        </w:tc>
      </w:tr>
      <w:tr w14:paraId="5D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C8CCC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703-3</w:t>
            </w:r>
          </w:p>
        </w:tc>
        <w:tc>
          <w:tcPr>
            <w:tcW w:w="4732" w:type="dxa"/>
            <w:noWrap w:val="0"/>
            <w:vAlign w:val="center"/>
          </w:tcPr>
          <w:p w14:paraId="044FEC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先点播灌木后喷播草种</w:t>
            </w:r>
          </w:p>
        </w:tc>
        <w:tc>
          <w:tcPr>
            <w:tcW w:w="749" w:type="dxa"/>
            <w:noWrap w:val="0"/>
            <w:vAlign w:val="center"/>
          </w:tcPr>
          <w:p w14:paraId="113B72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112A2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22A97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A3333D">
            <w:pPr>
              <w:pageBreakBefore w:val="0"/>
              <w:kinsoku/>
              <w:wordWrap w:val="0"/>
              <w:bidi w:val="0"/>
              <w:spacing w:line="340" w:lineRule="atLeast"/>
              <w:jc w:val="center"/>
              <w:rPr>
                <w:rFonts w:hint="default" w:ascii="Times New Roman" w:hAnsi="Times New Roman" w:cs="Times New Roman"/>
                <w:szCs w:val="21"/>
                <w:highlight w:val="none"/>
              </w:rPr>
            </w:pPr>
          </w:p>
        </w:tc>
      </w:tr>
      <w:tr w14:paraId="751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18256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703-4</w:t>
            </w:r>
          </w:p>
        </w:tc>
        <w:tc>
          <w:tcPr>
            <w:tcW w:w="4732" w:type="dxa"/>
            <w:noWrap w:val="0"/>
            <w:vAlign w:val="top"/>
          </w:tcPr>
          <w:p w14:paraId="7B86F0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铺植草皮</w:t>
            </w:r>
          </w:p>
        </w:tc>
        <w:tc>
          <w:tcPr>
            <w:tcW w:w="749" w:type="dxa"/>
            <w:noWrap w:val="0"/>
            <w:vAlign w:val="top"/>
          </w:tcPr>
          <w:p w14:paraId="286197C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4D692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BC046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96088">
            <w:pPr>
              <w:pageBreakBefore w:val="0"/>
              <w:kinsoku/>
              <w:wordWrap w:val="0"/>
              <w:bidi w:val="0"/>
              <w:spacing w:line="340" w:lineRule="atLeast"/>
              <w:jc w:val="center"/>
              <w:rPr>
                <w:rFonts w:hint="default" w:ascii="Times New Roman" w:hAnsi="Times New Roman" w:cs="Times New Roman"/>
                <w:szCs w:val="21"/>
                <w:highlight w:val="none"/>
              </w:rPr>
            </w:pPr>
          </w:p>
        </w:tc>
      </w:tr>
      <w:tr w14:paraId="139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C0B7C9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71305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马尼拉草皮</w:t>
            </w:r>
          </w:p>
        </w:tc>
        <w:tc>
          <w:tcPr>
            <w:tcW w:w="749" w:type="dxa"/>
            <w:noWrap w:val="0"/>
            <w:vAlign w:val="top"/>
          </w:tcPr>
          <w:p w14:paraId="5C50751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7CDAE6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9064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0C1ACC">
            <w:pPr>
              <w:pageBreakBefore w:val="0"/>
              <w:kinsoku/>
              <w:wordWrap w:val="0"/>
              <w:bidi w:val="0"/>
              <w:spacing w:line="340" w:lineRule="atLeast"/>
              <w:jc w:val="center"/>
              <w:rPr>
                <w:rFonts w:hint="default" w:ascii="Times New Roman" w:hAnsi="Times New Roman" w:cs="Times New Roman"/>
                <w:szCs w:val="21"/>
                <w:highlight w:val="none"/>
              </w:rPr>
            </w:pPr>
          </w:p>
        </w:tc>
      </w:tr>
      <w:tr w14:paraId="292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60D5F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09749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美国二号草皮</w:t>
            </w:r>
          </w:p>
        </w:tc>
        <w:tc>
          <w:tcPr>
            <w:tcW w:w="749" w:type="dxa"/>
            <w:noWrap w:val="0"/>
            <w:vAlign w:val="top"/>
          </w:tcPr>
          <w:p w14:paraId="63E090B7">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ABD67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1C22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1DE71B">
            <w:pPr>
              <w:pageBreakBefore w:val="0"/>
              <w:kinsoku/>
              <w:wordWrap w:val="0"/>
              <w:bidi w:val="0"/>
              <w:spacing w:line="340" w:lineRule="atLeast"/>
              <w:jc w:val="center"/>
              <w:rPr>
                <w:rFonts w:hint="default" w:ascii="Times New Roman" w:hAnsi="Times New Roman" w:cs="Times New Roman"/>
                <w:szCs w:val="21"/>
                <w:highlight w:val="none"/>
              </w:rPr>
            </w:pPr>
          </w:p>
        </w:tc>
      </w:tr>
      <w:tr w14:paraId="0B7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FEE65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777EA09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5318C68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CF55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A16A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681E05">
            <w:pPr>
              <w:pageBreakBefore w:val="0"/>
              <w:kinsoku/>
              <w:wordWrap w:val="0"/>
              <w:bidi w:val="0"/>
              <w:spacing w:line="340" w:lineRule="atLeast"/>
              <w:jc w:val="center"/>
              <w:rPr>
                <w:rFonts w:hint="default" w:ascii="Times New Roman" w:hAnsi="Times New Roman" w:cs="Times New Roman"/>
                <w:szCs w:val="21"/>
                <w:highlight w:val="none"/>
              </w:rPr>
            </w:pPr>
          </w:p>
        </w:tc>
      </w:tr>
      <w:tr w14:paraId="589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76D19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703-5</w:t>
            </w:r>
          </w:p>
        </w:tc>
        <w:tc>
          <w:tcPr>
            <w:tcW w:w="4732" w:type="dxa"/>
            <w:noWrap w:val="0"/>
            <w:vAlign w:val="center"/>
          </w:tcPr>
          <w:p w14:paraId="7902F4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三维土工网植草</w:t>
            </w:r>
          </w:p>
        </w:tc>
        <w:tc>
          <w:tcPr>
            <w:tcW w:w="749" w:type="dxa"/>
            <w:noWrap w:val="0"/>
            <w:vAlign w:val="center"/>
          </w:tcPr>
          <w:p w14:paraId="4DFFDD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354159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3B581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77A535">
            <w:pPr>
              <w:pageBreakBefore w:val="0"/>
              <w:kinsoku/>
              <w:wordWrap w:val="0"/>
              <w:bidi w:val="0"/>
              <w:spacing w:line="340" w:lineRule="atLeast"/>
              <w:jc w:val="center"/>
              <w:rPr>
                <w:rFonts w:hint="default" w:ascii="Times New Roman" w:hAnsi="Times New Roman" w:cs="Times New Roman"/>
                <w:szCs w:val="21"/>
                <w:highlight w:val="none"/>
              </w:rPr>
            </w:pPr>
          </w:p>
        </w:tc>
      </w:tr>
      <w:tr w14:paraId="174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9898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703-6</w:t>
            </w:r>
          </w:p>
        </w:tc>
        <w:tc>
          <w:tcPr>
            <w:tcW w:w="4732" w:type="dxa"/>
            <w:noWrap w:val="0"/>
            <w:vAlign w:val="center"/>
          </w:tcPr>
          <w:p w14:paraId="4A3D8D6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客土喷播</w:t>
            </w:r>
          </w:p>
        </w:tc>
        <w:tc>
          <w:tcPr>
            <w:tcW w:w="749" w:type="dxa"/>
            <w:noWrap w:val="0"/>
            <w:vAlign w:val="center"/>
          </w:tcPr>
          <w:p w14:paraId="1B90A1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0D6B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954DC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7AD012">
            <w:pPr>
              <w:pageBreakBefore w:val="0"/>
              <w:kinsoku/>
              <w:wordWrap w:val="0"/>
              <w:bidi w:val="0"/>
              <w:spacing w:line="340" w:lineRule="atLeast"/>
              <w:jc w:val="center"/>
              <w:rPr>
                <w:rFonts w:hint="default" w:ascii="Times New Roman" w:hAnsi="Times New Roman" w:cs="Times New Roman"/>
                <w:szCs w:val="21"/>
                <w:highlight w:val="none"/>
              </w:rPr>
            </w:pPr>
          </w:p>
        </w:tc>
      </w:tr>
      <w:tr w14:paraId="2E9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B7A8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703-7</w:t>
            </w:r>
          </w:p>
        </w:tc>
        <w:tc>
          <w:tcPr>
            <w:tcW w:w="4732" w:type="dxa"/>
            <w:noWrap w:val="0"/>
            <w:vAlign w:val="center"/>
          </w:tcPr>
          <w:p w14:paraId="2B4BD39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植生袋</w:t>
            </w:r>
          </w:p>
        </w:tc>
        <w:tc>
          <w:tcPr>
            <w:tcW w:w="749" w:type="dxa"/>
            <w:noWrap w:val="0"/>
            <w:vAlign w:val="center"/>
          </w:tcPr>
          <w:p w14:paraId="5387E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2F49E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1C42F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95880A">
            <w:pPr>
              <w:pageBreakBefore w:val="0"/>
              <w:kinsoku/>
              <w:wordWrap w:val="0"/>
              <w:bidi w:val="0"/>
              <w:spacing w:line="340" w:lineRule="atLeast"/>
              <w:jc w:val="center"/>
              <w:rPr>
                <w:rFonts w:hint="default" w:ascii="Times New Roman" w:hAnsi="Times New Roman" w:cs="Times New Roman"/>
                <w:szCs w:val="21"/>
                <w:highlight w:val="none"/>
              </w:rPr>
            </w:pPr>
          </w:p>
        </w:tc>
      </w:tr>
      <w:tr w14:paraId="0AC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81342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703-8</w:t>
            </w:r>
          </w:p>
        </w:tc>
        <w:tc>
          <w:tcPr>
            <w:tcW w:w="4732" w:type="dxa"/>
            <w:noWrap w:val="0"/>
            <w:vAlign w:val="center"/>
          </w:tcPr>
          <w:p w14:paraId="1E7596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绿地喷灌管道</w:t>
            </w:r>
          </w:p>
        </w:tc>
        <w:tc>
          <w:tcPr>
            <w:tcW w:w="749" w:type="dxa"/>
            <w:noWrap w:val="0"/>
            <w:vAlign w:val="center"/>
          </w:tcPr>
          <w:p w14:paraId="0A9D7E7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717FC2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FBC0E5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1895FD">
            <w:pPr>
              <w:pageBreakBefore w:val="0"/>
              <w:kinsoku/>
              <w:wordWrap w:val="0"/>
              <w:bidi w:val="0"/>
              <w:spacing w:line="340" w:lineRule="atLeast"/>
              <w:jc w:val="center"/>
              <w:rPr>
                <w:rFonts w:hint="default" w:ascii="Times New Roman" w:hAnsi="Times New Roman" w:cs="Times New Roman"/>
                <w:szCs w:val="21"/>
                <w:highlight w:val="none"/>
              </w:rPr>
            </w:pPr>
          </w:p>
        </w:tc>
      </w:tr>
      <w:tr w14:paraId="4A57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463CA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w:t>
            </w:r>
          </w:p>
        </w:tc>
        <w:tc>
          <w:tcPr>
            <w:tcW w:w="4732" w:type="dxa"/>
            <w:noWrap w:val="0"/>
            <w:vAlign w:val="center"/>
          </w:tcPr>
          <w:p w14:paraId="5A3FBB7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种植乔木、灌木和攀缘植物</w:t>
            </w:r>
          </w:p>
        </w:tc>
        <w:tc>
          <w:tcPr>
            <w:tcW w:w="749" w:type="dxa"/>
            <w:noWrap w:val="0"/>
            <w:vAlign w:val="top"/>
          </w:tcPr>
          <w:p w14:paraId="053EEA2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41894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06B3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EF928">
            <w:pPr>
              <w:pageBreakBefore w:val="0"/>
              <w:kinsoku/>
              <w:wordWrap w:val="0"/>
              <w:bidi w:val="0"/>
              <w:spacing w:line="340" w:lineRule="atLeast"/>
              <w:jc w:val="center"/>
              <w:rPr>
                <w:rFonts w:hint="default" w:ascii="Times New Roman" w:hAnsi="Times New Roman" w:cs="Times New Roman"/>
                <w:szCs w:val="21"/>
                <w:highlight w:val="none"/>
              </w:rPr>
            </w:pPr>
          </w:p>
        </w:tc>
      </w:tr>
      <w:tr w14:paraId="4FC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C0370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704-1</w:t>
            </w:r>
          </w:p>
        </w:tc>
        <w:tc>
          <w:tcPr>
            <w:tcW w:w="4732" w:type="dxa"/>
            <w:noWrap w:val="0"/>
            <w:vAlign w:val="top"/>
          </w:tcPr>
          <w:p w14:paraId="44AFEE3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人工种植乔木</w:t>
            </w:r>
          </w:p>
        </w:tc>
        <w:tc>
          <w:tcPr>
            <w:tcW w:w="749" w:type="dxa"/>
            <w:noWrap w:val="0"/>
            <w:vAlign w:val="top"/>
          </w:tcPr>
          <w:p w14:paraId="228CF5B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67EEF9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8A864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A40C03">
            <w:pPr>
              <w:pageBreakBefore w:val="0"/>
              <w:kinsoku/>
              <w:wordWrap w:val="0"/>
              <w:bidi w:val="0"/>
              <w:spacing w:line="340" w:lineRule="atLeast"/>
              <w:jc w:val="center"/>
              <w:rPr>
                <w:rFonts w:hint="default" w:ascii="Times New Roman" w:hAnsi="Times New Roman" w:cs="Times New Roman"/>
                <w:szCs w:val="21"/>
                <w:highlight w:val="none"/>
              </w:rPr>
            </w:pPr>
          </w:p>
        </w:tc>
      </w:tr>
      <w:tr w14:paraId="520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3BD05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2A5F83E">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香樟</w:t>
            </w:r>
          </w:p>
        </w:tc>
        <w:tc>
          <w:tcPr>
            <w:tcW w:w="749" w:type="dxa"/>
            <w:noWrap w:val="0"/>
            <w:vAlign w:val="top"/>
          </w:tcPr>
          <w:p w14:paraId="1D5E1D9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0667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1DC6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FF7D3C">
            <w:pPr>
              <w:pageBreakBefore w:val="0"/>
              <w:kinsoku/>
              <w:wordWrap w:val="0"/>
              <w:bidi w:val="0"/>
              <w:spacing w:line="340" w:lineRule="atLeast"/>
              <w:jc w:val="center"/>
              <w:rPr>
                <w:rFonts w:hint="default" w:ascii="Times New Roman" w:hAnsi="Times New Roman" w:cs="Times New Roman"/>
                <w:szCs w:val="21"/>
                <w:highlight w:val="none"/>
              </w:rPr>
            </w:pPr>
          </w:p>
        </w:tc>
      </w:tr>
      <w:tr w14:paraId="4EE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A0828E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040FDE3">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大叶樟</w:t>
            </w:r>
          </w:p>
        </w:tc>
        <w:tc>
          <w:tcPr>
            <w:tcW w:w="749" w:type="dxa"/>
            <w:noWrap w:val="0"/>
            <w:vAlign w:val="top"/>
          </w:tcPr>
          <w:p w14:paraId="6B568A6F">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EBEDD4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8CD7C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70902">
            <w:pPr>
              <w:pageBreakBefore w:val="0"/>
              <w:kinsoku/>
              <w:wordWrap w:val="0"/>
              <w:bidi w:val="0"/>
              <w:spacing w:line="340" w:lineRule="atLeast"/>
              <w:jc w:val="center"/>
              <w:rPr>
                <w:rFonts w:hint="default" w:ascii="Times New Roman" w:hAnsi="Times New Roman" w:cs="Times New Roman"/>
                <w:szCs w:val="21"/>
                <w:highlight w:val="none"/>
              </w:rPr>
            </w:pPr>
          </w:p>
        </w:tc>
      </w:tr>
      <w:tr w14:paraId="6EDF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BECFB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E242F6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杜英</w:t>
            </w:r>
          </w:p>
        </w:tc>
        <w:tc>
          <w:tcPr>
            <w:tcW w:w="749" w:type="dxa"/>
            <w:noWrap w:val="0"/>
            <w:vAlign w:val="top"/>
          </w:tcPr>
          <w:p w14:paraId="165266B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177D14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265FE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ABF8C6">
            <w:pPr>
              <w:pageBreakBefore w:val="0"/>
              <w:kinsoku/>
              <w:wordWrap w:val="0"/>
              <w:bidi w:val="0"/>
              <w:spacing w:line="340" w:lineRule="atLeast"/>
              <w:jc w:val="center"/>
              <w:rPr>
                <w:rFonts w:hint="default" w:ascii="Times New Roman" w:hAnsi="Times New Roman" w:cs="Times New Roman"/>
                <w:szCs w:val="21"/>
                <w:highlight w:val="none"/>
              </w:rPr>
            </w:pPr>
          </w:p>
        </w:tc>
      </w:tr>
      <w:tr w14:paraId="100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F3E49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1084D212">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1182A33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EED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A0AD8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DF9D34">
            <w:pPr>
              <w:pageBreakBefore w:val="0"/>
              <w:kinsoku/>
              <w:wordWrap w:val="0"/>
              <w:bidi w:val="0"/>
              <w:spacing w:line="340" w:lineRule="atLeast"/>
              <w:jc w:val="center"/>
              <w:rPr>
                <w:rFonts w:hint="default" w:ascii="Times New Roman" w:hAnsi="Times New Roman" w:cs="Times New Roman"/>
                <w:szCs w:val="21"/>
                <w:highlight w:val="none"/>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0BB1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704-2</w:t>
            </w:r>
          </w:p>
        </w:tc>
        <w:tc>
          <w:tcPr>
            <w:tcW w:w="4732" w:type="dxa"/>
            <w:noWrap w:val="0"/>
            <w:vAlign w:val="top"/>
          </w:tcPr>
          <w:p w14:paraId="07222C7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人工种植灌木</w:t>
            </w:r>
          </w:p>
        </w:tc>
        <w:tc>
          <w:tcPr>
            <w:tcW w:w="749" w:type="dxa"/>
            <w:noWrap w:val="0"/>
            <w:vAlign w:val="top"/>
          </w:tcPr>
          <w:p w14:paraId="599F314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288C3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DF6B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DF859A">
            <w:pPr>
              <w:pageBreakBefore w:val="0"/>
              <w:kinsoku/>
              <w:wordWrap w:val="0"/>
              <w:bidi w:val="0"/>
              <w:spacing w:line="340" w:lineRule="atLeast"/>
              <w:jc w:val="center"/>
              <w:rPr>
                <w:rFonts w:hint="default" w:ascii="Times New Roman" w:hAnsi="Times New Roman" w:cs="Times New Roman"/>
                <w:szCs w:val="21"/>
                <w:highlight w:val="none"/>
              </w:rPr>
            </w:pPr>
          </w:p>
        </w:tc>
      </w:tr>
      <w:tr w14:paraId="44D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A559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C703A6D">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夹竹桃</w:t>
            </w:r>
          </w:p>
        </w:tc>
        <w:tc>
          <w:tcPr>
            <w:tcW w:w="749" w:type="dxa"/>
            <w:noWrap w:val="0"/>
            <w:vAlign w:val="top"/>
          </w:tcPr>
          <w:p w14:paraId="4D26A44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830426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84F09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DAAE79">
            <w:pPr>
              <w:pageBreakBefore w:val="0"/>
              <w:kinsoku/>
              <w:wordWrap w:val="0"/>
              <w:bidi w:val="0"/>
              <w:spacing w:line="340" w:lineRule="atLeast"/>
              <w:jc w:val="center"/>
              <w:rPr>
                <w:rFonts w:hint="default" w:ascii="Times New Roman" w:hAnsi="Times New Roman" w:cs="Times New Roman"/>
                <w:szCs w:val="21"/>
                <w:highlight w:val="none"/>
              </w:rPr>
            </w:pPr>
          </w:p>
        </w:tc>
      </w:tr>
      <w:tr w14:paraId="4EB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FD930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0146A9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木芙蓉</w:t>
            </w:r>
          </w:p>
        </w:tc>
        <w:tc>
          <w:tcPr>
            <w:tcW w:w="749" w:type="dxa"/>
            <w:noWrap w:val="0"/>
            <w:vAlign w:val="top"/>
          </w:tcPr>
          <w:p w14:paraId="4BB272F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CF2491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38C1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9EC15F">
            <w:pPr>
              <w:pageBreakBefore w:val="0"/>
              <w:kinsoku/>
              <w:wordWrap w:val="0"/>
              <w:bidi w:val="0"/>
              <w:spacing w:line="340" w:lineRule="atLeast"/>
              <w:jc w:val="center"/>
              <w:rPr>
                <w:rFonts w:hint="default" w:ascii="Times New Roman" w:hAnsi="Times New Roman" w:cs="Times New Roman"/>
                <w:szCs w:val="21"/>
                <w:highlight w:val="none"/>
              </w:rPr>
            </w:pPr>
          </w:p>
        </w:tc>
      </w:tr>
      <w:tr w14:paraId="463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6729A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55D7868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春杜鹃</w:t>
            </w:r>
          </w:p>
        </w:tc>
        <w:tc>
          <w:tcPr>
            <w:tcW w:w="749" w:type="dxa"/>
            <w:noWrap w:val="0"/>
            <w:vAlign w:val="top"/>
          </w:tcPr>
          <w:p w14:paraId="7D50169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67777F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E9D4C9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9A64">
            <w:pPr>
              <w:pageBreakBefore w:val="0"/>
              <w:kinsoku/>
              <w:wordWrap w:val="0"/>
              <w:bidi w:val="0"/>
              <w:spacing w:line="340" w:lineRule="atLeast"/>
              <w:jc w:val="center"/>
              <w:rPr>
                <w:rFonts w:hint="default" w:ascii="Times New Roman" w:hAnsi="Times New Roman" w:cs="Times New Roman"/>
                <w:szCs w:val="21"/>
                <w:highlight w:val="none"/>
              </w:rPr>
            </w:pPr>
          </w:p>
        </w:tc>
      </w:tr>
      <w:tr w14:paraId="315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42E99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637927E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D00B05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7F7A3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78378E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83A0DA">
            <w:pPr>
              <w:pageBreakBefore w:val="0"/>
              <w:kinsoku/>
              <w:wordWrap w:val="0"/>
              <w:bidi w:val="0"/>
              <w:spacing w:line="340" w:lineRule="atLeast"/>
              <w:jc w:val="center"/>
              <w:rPr>
                <w:rFonts w:hint="default" w:ascii="Times New Roman" w:hAnsi="Times New Roman" w:cs="Times New Roman"/>
                <w:szCs w:val="21"/>
                <w:highlight w:val="none"/>
              </w:rPr>
            </w:pPr>
          </w:p>
        </w:tc>
      </w:tr>
      <w:tr w14:paraId="656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2D4A3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704-3</w:t>
            </w:r>
          </w:p>
        </w:tc>
        <w:tc>
          <w:tcPr>
            <w:tcW w:w="4732" w:type="dxa"/>
            <w:noWrap w:val="0"/>
            <w:vAlign w:val="top"/>
          </w:tcPr>
          <w:p w14:paraId="2489DC2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人工种植攀缘植物</w:t>
            </w:r>
          </w:p>
        </w:tc>
        <w:tc>
          <w:tcPr>
            <w:tcW w:w="749" w:type="dxa"/>
            <w:noWrap w:val="0"/>
            <w:vAlign w:val="top"/>
          </w:tcPr>
          <w:p w14:paraId="0963D81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28946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B7ED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8A6FA2">
            <w:pPr>
              <w:pageBreakBefore w:val="0"/>
              <w:kinsoku/>
              <w:wordWrap w:val="0"/>
              <w:bidi w:val="0"/>
              <w:spacing w:line="340" w:lineRule="atLeast"/>
              <w:jc w:val="center"/>
              <w:rPr>
                <w:rFonts w:hint="default" w:ascii="Times New Roman" w:hAnsi="Times New Roman" w:cs="Times New Roman"/>
                <w:szCs w:val="21"/>
                <w:highlight w:val="none"/>
              </w:rPr>
            </w:pPr>
          </w:p>
        </w:tc>
      </w:tr>
      <w:tr w14:paraId="791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67C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704-4</w:t>
            </w:r>
          </w:p>
        </w:tc>
        <w:tc>
          <w:tcPr>
            <w:tcW w:w="4732" w:type="dxa"/>
            <w:noWrap w:val="0"/>
            <w:vAlign w:val="center"/>
          </w:tcPr>
          <w:p w14:paraId="50D5A6C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人工种植竹类</w:t>
            </w:r>
          </w:p>
        </w:tc>
        <w:tc>
          <w:tcPr>
            <w:tcW w:w="749" w:type="dxa"/>
            <w:noWrap w:val="0"/>
            <w:vAlign w:val="center"/>
          </w:tcPr>
          <w:p w14:paraId="1F993A5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棵</w:t>
            </w:r>
          </w:p>
        </w:tc>
        <w:tc>
          <w:tcPr>
            <w:tcW w:w="837" w:type="dxa"/>
            <w:noWrap w:val="0"/>
            <w:vAlign w:val="center"/>
          </w:tcPr>
          <w:p w14:paraId="2C74C8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07C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7FC825">
            <w:pPr>
              <w:pageBreakBefore w:val="0"/>
              <w:kinsoku/>
              <w:wordWrap w:val="0"/>
              <w:bidi w:val="0"/>
              <w:spacing w:line="340" w:lineRule="atLeast"/>
              <w:jc w:val="center"/>
              <w:rPr>
                <w:rFonts w:hint="default" w:ascii="Times New Roman" w:hAnsi="Times New Roman" w:cs="Times New Roman"/>
                <w:szCs w:val="21"/>
                <w:highlight w:val="none"/>
              </w:rPr>
            </w:pPr>
          </w:p>
        </w:tc>
      </w:tr>
      <w:tr w14:paraId="255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9C4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w:t>
            </w:r>
          </w:p>
        </w:tc>
        <w:tc>
          <w:tcPr>
            <w:tcW w:w="4732" w:type="dxa"/>
            <w:noWrap w:val="0"/>
            <w:vAlign w:val="center"/>
          </w:tcPr>
          <w:p w14:paraId="0F68143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声屏障</w:t>
            </w:r>
          </w:p>
        </w:tc>
        <w:tc>
          <w:tcPr>
            <w:tcW w:w="749" w:type="dxa"/>
            <w:noWrap w:val="0"/>
            <w:vAlign w:val="center"/>
          </w:tcPr>
          <w:p w14:paraId="7213476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ED4C7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6F4C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DF2BFF">
            <w:pPr>
              <w:pageBreakBefore w:val="0"/>
              <w:kinsoku/>
              <w:wordWrap w:val="0"/>
              <w:bidi w:val="0"/>
              <w:spacing w:line="340" w:lineRule="atLeast"/>
              <w:jc w:val="center"/>
              <w:rPr>
                <w:rFonts w:hint="default" w:ascii="Times New Roman" w:hAnsi="Times New Roman" w:cs="Times New Roman"/>
                <w:szCs w:val="21"/>
                <w:highlight w:val="none"/>
              </w:rPr>
            </w:pPr>
          </w:p>
        </w:tc>
      </w:tr>
      <w:tr w14:paraId="42D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4198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706-1</w:t>
            </w:r>
          </w:p>
        </w:tc>
        <w:tc>
          <w:tcPr>
            <w:tcW w:w="4732" w:type="dxa"/>
            <w:noWrap w:val="0"/>
            <w:vAlign w:val="center"/>
          </w:tcPr>
          <w:p w14:paraId="3DB024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吸、隔声板声屏障</w:t>
            </w:r>
          </w:p>
        </w:tc>
        <w:tc>
          <w:tcPr>
            <w:tcW w:w="749" w:type="dxa"/>
            <w:noWrap w:val="0"/>
            <w:vAlign w:val="center"/>
          </w:tcPr>
          <w:p w14:paraId="6F16F7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68701D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F0FB5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095050">
            <w:pPr>
              <w:pageBreakBefore w:val="0"/>
              <w:kinsoku/>
              <w:wordWrap w:val="0"/>
              <w:bidi w:val="0"/>
              <w:spacing w:line="340" w:lineRule="atLeast"/>
              <w:jc w:val="center"/>
              <w:rPr>
                <w:rFonts w:hint="default" w:ascii="Times New Roman" w:hAnsi="Times New Roman" w:cs="Times New Roman"/>
                <w:szCs w:val="21"/>
                <w:highlight w:val="none"/>
              </w:rPr>
            </w:pPr>
          </w:p>
        </w:tc>
      </w:tr>
      <w:tr w14:paraId="5FC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B1BC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706-2</w:t>
            </w:r>
          </w:p>
        </w:tc>
        <w:tc>
          <w:tcPr>
            <w:tcW w:w="4732" w:type="dxa"/>
            <w:noWrap w:val="0"/>
            <w:vAlign w:val="center"/>
          </w:tcPr>
          <w:p w14:paraId="01A481E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吸声砖声屏障</w:t>
            </w:r>
          </w:p>
        </w:tc>
        <w:tc>
          <w:tcPr>
            <w:tcW w:w="749" w:type="dxa"/>
            <w:noWrap w:val="0"/>
            <w:vAlign w:val="center"/>
          </w:tcPr>
          <w:p w14:paraId="710BB6C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98EC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D5452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B3694">
            <w:pPr>
              <w:pageBreakBefore w:val="0"/>
              <w:kinsoku/>
              <w:wordWrap w:val="0"/>
              <w:bidi w:val="0"/>
              <w:spacing w:line="340" w:lineRule="atLeast"/>
              <w:jc w:val="center"/>
              <w:rPr>
                <w:rFonts w:hint="default" w:ascii="Times New Roman" w:hAnsi="Times New Roman" w:cs="Times New Roman"/>
                <w:szCs w:val="21"/>
                <w:highlight w:val="none"/>
              </w:rPr>
            </w:pPr>
          </w:p>
        </w:tc>
      </w:tr>
      <w:tr w14:paraId="0CE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48E7B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706-3</w:t>
            </w:r>
          </w:p>
        </w:tc>
        <w:tc>
          <w:tcPr>
            <w:tcW w:w="4732" w:type="dxa"/>
            <w:noWrap w:val="0"/>
            <w:vAlign w:val="center"/>
          </w:tcPr>
          <w:p w14:paraId="042285B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砖墙声屏障</w:t>
            </w:r>
          </w:p>
        </w:tc>
        <w:tc>
          <w:tcPr>
            <w:tcW w:w="749" w:type="dxa"/>
            <w:noWrap w:val="0"/>
            <w:vAlign w:val="center"/>
          </w:tcPr>
          <w:p w14:paraId="33BEB6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5C7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61F8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D187E">
            <w:pPr>
              <w:pageBreakBefore w:val="0"/>
              <w:kinsoku/>
              <w:wordWrap w:val="0"/>
              <w:bidi w:val="0"/>
              <w:spacing w:line="340" w:lineRule="atLeast"/>
              <w:jc w:val="center"/>
              <w:rPr>
                <w:rFonts w:hint="default" w:ascii="Times New Roman" w:hAnsi="Times New Roman" w:cs="Times New Roman"/>
                <w:szCs w:val="21"/>
                <w:highlight w:val="none"/>
              </w:rPr>
            </w:pPr>
          </w:p>
        </w:tc>
      </w:tr>
      <w:tr w14:paraId="236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7D90D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732" w:type="dxa"/>
            <w:noWrap w:val="0"/>
            <w:vAlign w:val="center"/>
          </w:tcPr>
          <w:p w14:paraId="2CDB98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p>
        </w:tc>
        <w:tc>
          <w:tcPr>
            <w:tcW w:w="749" w:type="dxa"/>
            <w:noWrap w:val="0"/>
            <w:vAlign w:val="center"/>
          </w:tcPr>
          <w:p w14:paraId="1D7DB83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994CD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30278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78FA8">
            <w:pPr>
              <w:pageBreakBefore w:val="0"/>
              <w:kinsoku/>
              <w:wordWrap w:val="0"/>
              <w:bidi w:val="0"/>
              <w:spacing w:line="340" w:lineRule="atLeast"/>
              <w:jc w:val="center"/>
              <w:rPr>
                <w:rFonts w:hint="default" w:ascii="Times New Roman" w:hAnsi="Times New Roman" w:cs="Times New Roman"/>
                <w:szCs w:val="21"/>
                <w:highlight w:val="none"/>
              </w:rPr>
            </w:pPr>
          </w:p>
        </w:tc>
      </w:tr>
      <w:tr w14:paraId="3A0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FED6DD8">
            <w:pPr>
              <w:pageBreakBefore w:val="0"/>
              <w:kinsoku/>
              <w:wordWrap w:val="0"/>
              <w:bidi w:val="0"/>
              <w:spacing w:line="34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清单第700章合计  人民币</w:t>
            </w:r>
            <w:r>
              <w:rPr>
                <w:rFonts w:hint="default" w:ascii="Times New Roman" w:hAnsi="Times New Roman" w:cs="Times New Roman"/>
                <w:szCs w:val="21"/>
                <w:highlight w:val="none"/>
                <w:u w:val="single"/>
              </w:rPr>
              <w:t xml:space="preserve">                    </w:t>
            </w:r>
          </w:p>
        </w:tc>
      </w:tr>
    </w:tbl>
    <w:p w14:paraId="3DBEB756">
      <w:pPr>
        <w:pageBreakBefore w:val="0"/>
        <w:kinsoku/>
        <w:wordWrap w:val="0"/>
        <w:bidi w:val="0"/>
        <w:spacing w:before="120" w:beforeLines="50" w:after="120" w:afterLines="50" w:line="400" w:lineRule="atLeast"/>
        <w:ind w:firstLine="560" w:firstLineChars="200"/>
        <w:rPr>
          <w:rFonts w:hint="default" w:ascii="Times New Roman" w:hAnsi="Times New Roman" w:cs="Times New Roman"/>
          <w:sz w:val="24"/>
          <w:highlight w:val="none"/>
        </w:rPr>
      </w:pPr>
      <w:r>
        <w:rPr>
          <w:rFonts w:hint="default" w:ascii="Times New Roman" w:hAnsi="Times New Roman" w:eastAsia="黑体" w:cs="Times New Roman"/>
          <w:sz w:val="28"/>
          <w:highlight w:val="none"/>
        </w:rPr>
        <w:br w:type="page"/>
      </w:r>
      <w:r>
        <w:rPr>
          <w:rFonts w:hint="default" w:ascii="Times New Roman" w:hAnsi="Times New Roman" w:cs="Times New Roman"/>
          <w:sz w:val="24"/>
          <w:highlight w:val="none"/>
        </w:rPr>
        <w:t>5.2 计日工表</w:t>
      </w:r>
    </w:p>
    <w:p w14:paraId="159384F4">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5.2.1 劳务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42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D18E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5F2A57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41C492F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5C4EF77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7B83E0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749372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1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984A03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3030" w:type="dxa"/>
            <w:noWrap w:val="0"/>
            <w:vAlign w:val="top"/>
          </w:tcPr>
          <w:p w14:paraId="5BF0794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班长</w:t>
            </w:r>
          </w:p>
        </w:tc>
        <w:tc>
          <w:tcPr>
            <w:tcW w:w="1503" w:type="dxa"/>
            <w:noWrap w:val="0"/>
            <w:vAlign w:val="center"/>
          </w:tcPr>
          <w:p w14:paraId="0B96D63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88BE0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EB0B97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13B7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9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B918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3030" w:type="dxa"/>
            <w:noWrap w:val="0"/>
            <w:vAlign w:val="top"/>
          </w:tcPr>
          <w:p w14:paraId="04CBC6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普通工</w:t>
            </w:r>
          </w:p>
        </w:tc>
        <w:tc>
          <w:tcPr>
            <w:tcW w:w="1503" w:type="dxa"/>
            <w:noWrap w:val="0"/>
            <w:vAlign w:val="center"/>
          </w:tcPr>
          <w:p w14:paraId="048F9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151A1A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5DECD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9AC0B5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C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553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3030" w:type="dxa"/>
            <w:noWrap w:val="0"/>
            <w:vAlign w:val="top"/>
          </w:tcPr>
          <w:p w14:paraId="2E61D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焊工</w:t>
            </w:r>
          </w:p>
        </w:tc>
        <w:tc>
          <w:tcPr>
            <w:tcW w:w="1503" w:type="dxa"/>
            <w:noWrap w:val="0"/>
            <w:vAlign w:val="center"/>
          </w:tcPr>
          <w:p w14:paraId="0C19F68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92985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9AA6E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9ACBA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E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88BE1A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3030" w:type="dxa"/>
            <w:noWrap w:val="0"/>
            <w:vAlign w:val="top"/>
          </w:tcPr>
          <w:p w14:paraId="5A658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电工</w:t>
            </w:r>
          </w:p>
        </w:tc>
        <w:tc>
          <w:tcPr>
            <w:tcW w:w="1503" w:type="dxa"/>
            <w:noWrap w:val="0"/>
            <w:vAlign w:val="center"/>
          </w:tcPr>
          <w:p w14:paraId="21452BB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04DBF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71178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6930A2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4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0DC0F1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3030" w:type="dxa"/>
            <w:noWrap w:val="0"/>
            <w:vAlign w:val="top"/>
          </w:tcPr>
          <w:p w14:paraId="1F1A03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混凝土工</w:t>
            </w:r>
          </w:p>
        </w:tc>
        <w:tc>
          <w:tcPr>
            <w:tcW w:w="1503" w:type="dxa"/>
            <w:noWrap w:val="0"/>
            <w:vAlign w:val="center"/>
          </w:tcPr>
          <w:p w14:paraId="599BBD4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ABBBA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CB0DF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24A3BF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DA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6DDC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106</w:t>
            </w:r>
          </w:p>
        </w:tc>
        <w:tc>
          <w:tcPr>
            <w:tcW w:w="3030" w:type="dxa"/>
            <w:noWrap w:val="0"/>
            <w:vAlign w:val="top"/>
          </w:tcPr>
          <w:p w14:paraId="6018289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木工</w:t>
            </w:r>
          </w:p>
        </w:tc>
        <w:tc>
          <w:tcPr>
            <w:tcW w:w="1503" w:type="dxa"/>
            <w:noWrap w:val="0"/>
            <w:vAlign w:val="center"/>
          </w:tcPr>
          <w:p w14:paraId="510050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55ABD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993F1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9E4E4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DC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DF8BA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107</w:t>
            </w:r>
          </w:p>
        </w:tc>
        <w:tc>
          <w:tcPr>
            <w:tcW w:w="3030" w:type="dxa"/>
            <w:noWrap w:val="0"/>
            <w:vAlign w:val="top"/>
          </w:tcPr>
          <w:p w14:paraId="0A647B0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钢筋工</w:t>
            </w:r>
          </w:p>
        </w:tc>
        <w:tc>
          <w:tcPr>
            <w:tcW w:w="1503" w:type="dxa"/>
            <w:noWrap w:val="0"/>
            <w:vAlign w:val="center"/>
          </w:tcPr>
          <w:p w14:paraId="48A69A8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C1DF4C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43E91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DE76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6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02F468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3030" w:type="dxa"/>
            <w:noWrap w:val="0"/>
            <w:vAlign w:val="top"/>
          </w:tcPr>
          <w:p w14:paraId="3C1623E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center"/>
          </w:tcPr>
          <w:p w14:paraId="17281F9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314" w:type="dxa"/>
            <w:noWrap w:val="0"/>
            <w:vAlign w:val="center"/>
          </w:tcPr>
          <w:p w14:paraId="66B7BF9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B50BE0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0E7065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F1A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24F4B72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劳务小计金额： </w:t>
            </w:r>
            <w:r>
              <w:rPr>
                <w:rFonts w:hint="default" w:ascii="Times New Roman" w:hAnsi="Times New Roman" w:cs="Times New Roman"/>
                <w:szCs w:val="21"/>
                <w:highlight w:val="none"/>
                <w:u w:val="single"/>
              </w:rPr>
              <w:t>_____________</w:t>
            </w:r>
          </w:p>
          <w:p w14:paraId="2A42BDE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3FAF61D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5.2.2 材料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248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857B8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67301D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0891CA1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60AFF7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57E0C4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07239A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41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BD48E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201</w:t>
            </w:r>
          </w:p>
        </w:tc>
        <w:tc>
          <w:tcPr>
            <w:tcW w:w="3030" w:type="dxa"/>
            <w:noWrap w:val="0"/>
            <w:vAlign w:val="top"/>
          </w:tcPr>
          <w:p w14:paraId="52AB60F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1503" w:type="dxa"/>
            <w:noWrap w:val="0"/>
            <w:vAlign w:val="top"/>
          </w:tcPr>
          <w:p w14:paraId="2EE457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C1E0A3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6FE82F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42D9D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4C5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200406C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202</w:t>
            </w:r>
          </w:p>
        </w:tc>
        <w:tc>
          <w:tcPr>
            <w:tcW w:w="3030" w:type="dxa"/>
            <w:noWrap w:val="0"/>
            <w:vAlign w:val="top"/>
          </w:tcPr>
          <w:p w14:paraId="53624F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1503" w:type="dxa"/>
            <w:noWrap w:val="0"/>
            <w:vAlign w:val="top"/>
          </w:tcPr>
          <w:p w14:paraId="610E19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2B4E5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6DFF69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CBF1E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F2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23C1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203</w:t>
            </w:r>
          </w:p>
        </w:tc>
        <w:tc>
          <w:tcPr>
            <w:tcW w:w="3030" w:type="dxa"/>
            <w:noWrap w:val="0"/>
            <w:vAlign w:val="top"/>
          </w:tcPr>
          <w:p w14:paraId="5D5A19E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钢绞线</w:t>
            </w:r>
          </w:p>
        </w:tc>
        <w:tc>
          <w:tcPr>
            <w:tcW w:w="1503" w:type="dxa"/>
            <w:noWrap w:val="0"/>
            <w:vAlign w:val="top"/>
          </w:tcPr>
          <w:p w14:paraId="04A3C7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7A983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2B0F1D6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C4D3B7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37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B24AE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204</w:t>
            </w:r>
          </w:p>
        </w:tc>
        <w:tc>
          <w:tcPr>
            <w:tcW w:w="3030" w:type="dxa"/>
            <w:noWrap w:val="0"/>
            <w:vAlign w:val="top"/>
          </w:tcPr>
          <w:p w14:paraId="3C52EA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沥青</w:t>
            </w:r>
          </w:p>
        </w:tc>
        <w:tc>
          <w:tcPr>
            <w:tcW w:w="1503" w:type="dxa"/>
            <w:noWrap w:val="0"/>
            <w:vAlign w:val="top"/>
          </w:tcPr>
          <w:p w14:paraId="085220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084D73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5F7E0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F5A8D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52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75F29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205</w:t>
            </w:r>
          </w:p>
        </w:tc>
        <w:tc>
          <w:tcPr>
            <w:tcW w:w="3030" w:type="dxa"/>
            <w:noWrap w:val="0"/>
            <w:vAlign w:val="top"/>
          </w:tcPr>
          <w:p w14:paraId="3C71FF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木材</w:t>
            </w:r>
          </w:p>
        </w:tc>
        <w:tc>
          <w:tcPr>
            <w:tcW w:w="1503" w:type="dxa"/>
            <w:noWrap w:val="0"/>
            <w:vAlign w:val="top"/>
          </w:tcPr>
          <w:p w14:paraId="0E7FC11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5D611A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F32BB5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C2536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62BAA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206</w:t>
            </w:r>
          </w:p>
        </w:tc>
        <w:tc>
          <w:tcPr>
            <w:tcW w:w="3030" w:type="dxa"/>
            <w:noWrap w:val="0"/>
            <w:vAlign w:val="top"/>
          </w:tcPr>
          <w:p w14:paraId="01B288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砂</w:t>
            </w:r>
          </w:p>
        </w:tc>
        <w:tc>
          <w:tcPr>
            <w:tcW w:w="1503" w:type="dxa"/>
            <w:noWrap w:val="0"/>
            <w:vAlign w:val="top"/>
          </w:tcPr>
          <w:p w14:paraId="5E5A11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67741A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7D1E26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A1695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D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F75C81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207</w:t>
            </w:r>
          </w:p>
        </w:tc>
        <w:tc>
          <w:tcPr>
            <w:tcW w:w="3030" w:type="dxa"/>
            <w:noWrap w:val="0"/>
            <w:vAlign w:val="top"/>
          </w:tcPr>
          <w:p w14:paraId="380D8C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碎石</w:t>
            </w:r>
          </w:p>
        </w:tc>
        <w:tc>
          <w:tcPr>
            <w:tcW w:w="1503" w:type="dxa"/>
            <w:noWrap w:val="0"/>
            <w:vAlign w:val="top"/>
          </w:tcPr>
          <w:p w14:paraId="77CF7F3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66E7F3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4451B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AB0407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7E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1F44C2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208</w:t>
            </w:r>
          </w:p>
        </w:tc>
        <w:tc>
          <w:tcPr>
            <w:tcW w:w="3030" w:type="dxa"/>
            <w:noWrap w:val="0"/>
            <w:vAlign w:val="top"/>
          </w:tcPr>
          <w:p w14:paraId="5ADC97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片石</w:t>
            </w:r>
          </w:p>
        </w:tc>
        <w:tc>
          <w:tcPr>
            <w:tcW w:w="1503" w:type="dxa"/>
            <w:noWrap w:val="0"/>
            <w:vAlign w:val="top"/>
          </w:tcPr>
          <w:p w14:paraId="53E64A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561F10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B8C72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FEED8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2F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6C9FD30">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3030" w:type="dxa"/>
            <w:noWrap w:val="0"/>
            <w:vAlign w:val="top"/>
          </w:tcPr>
          <w:p w14:paraId="093D01E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top"/>
          </w:tcPr>
          <w:p w14:paraId="6A17C3B5">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1314" w:type="dxa"/>
            <w:noWrap w:val="0"/>
            <w:vAlign w:val="center"/>
          </w:tcPr>
          <w:p w14:paraId="1073B1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7A64F1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E3CC1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0B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6E40885D">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材料小计金额： </w:t>
            </w:r>
            <w:r>
              <w:rPr>
                <w:rFonts w:hint="default" w:ascii="Times New Roman" w:hAnsi="Times New Roman" w:cs="Times New Roman"/>
                <w:szCs w:val="21"/>
                <w:highlight w:val="none"/>
                <w:u w:val="single"/>
              </w:rPr>
              <w:t>_____________</w:t>
            </w:r>
          </w:p>
          <w:p w14:paraId="5D6793A7">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7C4C39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5.2.3 施工机械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644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1509010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185" w:type="dxa"/>
            <w:noWrap w:val="0"/>
            <w:vAlign w:val="center"/>
          </w:tcPr>
          <w:p w14:paraId="41A8F61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495" w:type="dxa"/>
            <w:noWrap w:val="0"/>
            <w:vAlign w:val="center"/>
          </w:tcPr>
          <w:p w14:paraId="0BED705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07" w:type="dxa"/>
            <w:noWrap w:val="0"/>
            <w:vAlign w:val="center"/>
          </w:tcPr>
          <w:p w14:paraId="2E55CC2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18" w:type="dxa"/>
            <w:noWrap w:val="0"/>
            <w:vAlign w:val="center"/>
          </w:tcPr>
          <w:p w14:paraId="2918EFA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2" w:type="dxa"/>
            <w:noWrap w:val="0"/>
            <w:vAlign w:val="center"/>
          </w:tcPr>
          <w:p w14:paraId="0117FFA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80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D64FD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w:t>
            </w:r>
          </w:p>
        </w:tc>
        <w:tc>
          <w:tcPr>
            <w:tcW w:w="3185" w:type="dxa"/>
            <w:noWrap w:val="0"/>
            <w:vAlign w:val="top"/>
          </w:tcPr>
          <w:p w14:paraId="10979C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装载机</w:t>
            </w:r>
          </w:p>
        </w:tc>
        <w:tc>
          <w:tcPr>
            <w:tcW w:w="1495" w:type="dxa"/>
            <w:noWrap w:val="0"/>
            <w:vAlign w:val="center"/>
          </w:tcPr>
          <w:p w14:paraId="493686A0">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3B0F6E15">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68E8068">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4B99DA9">
            <w:pPr>
              <w:pageBreakBefore w:val="0"/>
              <w:kinsoku/>
              <w:wordWrap w:val="0"/>
              <w:bidi w:val="0"/>
              <w:spacing w:line="440" w:lineRule="exact"/>
              <w:jc w:val="center"/>
              <w:rPr>
                <w:rFonts w:hint="default" w:ascii="Times New Roman" w:hAnsi="Times New Roman" w:cs="Times New Roman"/>
                <w:szCs w:val="21"/>
                <w:highlight w:val="none"/>
              </w:rPr>
            </w:pPr>
          </w:p>
        </w:tc>
      </w:tr>
      <w:tr w14:paraId="28C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70A3AA5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301-1</w:t>
            </w:r>
          </w:p>
        </w:tc>
        <w:tc>
          <w:tcPr>
            <w:tcW w:w="3185" w:type="dxa"/>
            <w:noWrap w:val="0"/>
            <w:vAlign w:val="top"/>
          </w:tcPr>
          <w:p w14:paraId="7129AA0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以下</w:t>
            </w:r>
          </w:p>
        </w:tc>
        <w:tc>
          <w:tcPr>
            <w:tcW w:w="1495" w:type="dxa"/>
            <w:noWrap w:val="0"/>
            <w:vAlign w:val="center"/>
          </w:tcPr>
          <w:p w14:paraId="1F1A64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C97862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02ADEDC">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55989E6">
            <w:pPr>
              <w:pageBreakBefore w:val="0"/>
              <w:kinsoku/>
              <w:wordWrap w:val="0"/>
              <w:bidi w:val="0"/>
              <w:spacing w:line="440" w:lineRule="exact"/>
              <w:jc w:val="center"/>
              <w:rPr>
                <w:rFonts w:hint="default" w:ascii="Times New Roman" w:hAnsi="Times New Roman" w:cs="Times New Roman"/>
                <w:szCs w:val="21"/>
                <w:highlight w:val="none"/>
              </w:rPr>
            </w:pPr>
          </w:p>
        </w:tc>
      </w:tr>
      <w:tr w14:paraId="3B9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C36AC1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301-2</w:t>
            </w:r>
          </w:p>
        </w:tc>
        <w:tc>
          <w:tcPr>
            <w:tcW w:w="3185" w:type="dxa"/>
            <w:noWrap w:val="0"/>
            <w:vAlign w:val="top"/>
          </w:tcPr>
          <w:p w14:paraId="4B7791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1.5～2.5 m</w:t>
            </w:r>
            <w:r>
              <w:rPr>
                <w:rFonts w:hint="default" w:ascii="Times New Roman" w:hAnsi="Times New Roman" w:cs="Times New Roman"/>
                <w:szCs w:val="21"/>
                <w:highlight w:val="none"/>
                <w:vertAlign w:val="superscript"/>
              </w:rPr>
              <w:t>3</w:t>
            </w:r>
          </w:p>
        </w:tc>
        <w:tc>
          <w:tcPr>
            <w:tcW w:w="1495" w:type="dxa"/>
            <w:noWrap w:val="0"/>
            <w:vAlign w:val="center"/>
          </w:tcPr>
          <w:p w14:paraId="0455CE3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2FB5D63">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CB94F22">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16D6547A">
            <w:pPr>
              <w:pageBreakBefore w:val="0"/>
              <w:kinsoku/>
              <w:wordWrap w:val="0"/>
              <w:bidi w:val="0"/>
              <w:spacing w:line="440" w:lineRule="exact"/>
              <w:jc w:val="center"/>
              <w:rPr>
                <w:rFonts w:hint="default" w:ascii="Times New Roman" w:hAnsi="Times New Roman" w:cs="Times New Roman"/>
                <w:szCs w:val="21"/>
                <w:highlight w:val="none"/>
              </w:rPr>
            </w:pPr>
          </w:p>
        </w:tc>
      </w:tr>
      <w:tr w14:paraId="49C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3FD5F5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301-3</w:t>
            </w:r>
          </w:p>
        </w:tc>
        <w:tc>
          <w:tcPr>
            <w:tcW w:w="3185" w:type="dxa"/>
            <w:noWrap w:val="0"/>
            <w:vAlign w:val="top"/>
          </w:tcPr>
          <w:p w14:paraId="6A7DA60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2.5 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以上</w:t>
            </w:r>
          </w:p>
        </w:tc>
        <w:tc>
          <w:tcPr>
            <w:tcW w:w="1495" w:type="dxa"/>
            <w:noWrap w:val="0"/>
            <w:vAlign w:val="center"/>
          </w:tcPr>
          <w:p w14:paraId="76D8EE4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36BF1D7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CEC7E13">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1AD76F9">
            <w:pPr>
              <w:pageBreakBefore w:val="0"/>
              <w:kinsoku/>
              <w:wordWrap w:val="0"/>
              <w:bidi w:val="0"/>
              <w:spacing w:line="440" w:lineRule="exact"/>
              <w:jc w:val="center"/>
              <w:rPr>
                <w:rFonts w:hint="default" w:ascii="Times New Roman" w:hAnsi="Times New Roman" w:cs="Times New Roman"/>
                <w:szCs w:val="21"/>
                <w:highlight w:val="none"/>
              </w:rPr>
            </w:pPr>
          </w:p>
        </w:tc>
      </w:tr>
      <w:tr w14:paraId="5711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AB046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w:t>
            </w:r>
          </w:p>
        </w:tc>
        <w:tc>
          <w:tcPr>
            <w:tcW w:w="3185" w:type="dxa"/>
            <w:noWrap w:val="0"/>
            <w:vAlign w:val="top"/>
          </w:tcPr>
          <w:p w14:paraId="31B63AA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推土机</w:t>
            </w:r>
          </w:p>
        </w:tc>
        <w:tc>
          <w:tcPr>
            <w:tcW w:w="1495" w:type="dxa"/>
            <w:noWrap w:val="0"/>
            <w:vAlign w:val="center"/>
          </w:tcPr>
          <w:p w14:paraId="3A5D18C4">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2D74826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09ED0645">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BDF20ED">
            <w:pPr>
              <w:pageBreakBefore w:val="0"/>
              <w:kinsoku/>
              <w:wordWrap w:val="0"/>
              <w:bidi w:val="0"/>
              <w:spacing w:line="440" w:lineRule="exact"/>
              <w:jc w:val="center"/>
              <w:rPr>
                <w:rFonts w:hint="default" w:ascii="Times New Roman" w:hAnsi="Times New Roman" w:cs="Times New Roman"/>
                <w:szCs w:val="21"/>
                <w:highlight w:val="none"/>
              </w:rPr>
            </w:pPr>
          </w:p>
        </w:tc>
      </w:tr>
      <w:tr w14:paraId="665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59865C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3185" w:type="dxa"/>
            <w:noWrap w:val="0"/>
            <w:vAlign w:val="top"/>
          </w:tcPr>
          <w:p w14:paraId="71BD181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90kW以下</w:t>
            </w:r>
          </w:p>
        </w:tc>
        <w:tc>
          <w:tcPr>
            <w:tcW w:w="1495" w:type="dxa"/>
            <w:noWrap w:val="0"/>
            <w:vAlign w:val="center"/>
          </w:tcPr>
          <w:p w14:paraId="27299E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B7FB18">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614E4F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3783C642">
            <w:pPr>
              <w:pageBreakBefore w:val="0"/>
              <w:kinsoku/>
              <w:wordWrap w:val="0"/>
              <w:bidi w:val="0"/>
              <w:spacing w:line="440" w:lineRule="exact"/>
              <w:jc w:val="center"/>
              <w:rPr>
                <w:rFonts w:hint="default" w:ascii="Times New Roman" w:hAnsi="Times New Roman" w:cs="Times New Roman"/>
                <w:szCs w:val="21"/>
                <w:highlight w:val="none"/>
              </w:rPr>
            </w:pPr>
          </w:p>
        </w:tc>
      </w:tr>
      <w:tr w14:paraId="759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4BE7289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3185" w:type="dxa"/>
            <w:noWrap w:val="0"/>
            <w:vAlign w:val="top"/>
          </w:tcPr>
          <w:p w14:paraId="110829A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90～180kW</w:t>
            </w:r>
          </w:p>
        </w:tc>
        <w:tc>
          <w:tcPr>
            <w:tcW w:w="1495" w:type="dxa"/>
            <w:noWrap w:val="0"/>
            <w:vAlign w:val="center"/>
          </w:tcPr>
          <w:p w14:paraId="1F8D0EC6">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408532F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649E923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EFF0AC4">
            <w:pPr>
              <w:pageBreakBefore w:val="0"/>
              <w:kinsoku/>
              <w:wordWrap w:val="0"/>
              <w:bidi w:val="0"/>
              <w:spacing w:line="440" w:lineRule="exact"/>
              <w:jc w:val="center"/>
              <w:rPr>
                <w:rFonts w:hint="default" w:ascii="Times New Roman" w:hAnsi="Times New Roman" w:cs="Times New Roman"/>
                <w:szCs w:val="21"/>
                <w:highlight w:val="none"/>
              </w:rPr>
            </w:pPr>
          </w:p>
        </w:tc>
      </w:tr>
      <w:tr w14:paraId="7B6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DE7AE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3185" w:type="dxa"/>
            <w:noWrap w:val="0"/>
            <w:vAlign w:val="top"/>
          </w:tcPr>
          <w:p w14:paraId="5D447A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180kW以上</w:t>
            </w:r>
          </w:p>
        </w:tc>
        <w:tc>
          <w:tcPr>
            <w:tcW w:w="1495" w:type="dxa"/>
            <w:noWrap w:val="0"/>
            <w:vAlign w:val="center"/>
          </w:tcPr>
          <w:p w14:paraId="16CC5A3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3815FC">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9778267">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0CDC5D9">
            <w:pPr>
              <w:pageBreakBefore w:val="0"/>
              <w:kinsoku/>
              <w:wordWrap w:val="0"/>
              <w:bidi w:val="0"/>
              <w:spacing w:line="440" w:lineRule="exact"/>
              <w:jc w:val="center"/>
              <w:rPr>
                <w:rFonts w:hint="default" w:ascii="Times New Roman" w:hAnsi="Times New Roman" w:cs="Times New Roman"/>
                <w:szCs w:val="21"/>
                <w:highlight w:val="none"/>
              </w:rPr>
            </w:pPr>
          </w:p>
        </w:tc>
      </w:tr>
      <w:tr w14:paraId="1B1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0C6522C">
            <w:pPr>
              <w:pageBreakBefore w:val="0"/>
              <w:kinsoku/>
              <w:wordWrap w:val="0"/>
              <w:bidi w:val="0"/>
              <w:spacing w:before="60" w:after="60" w:line="240" w:lineRule="atLeast"/>
              <w:jc w:val="center"/>
              <w:rPr>
                <w:rFonts w:hint="default" w:ascii="Times New Roman" w:hAnsi="Times New Roman" w:cs="Times New Roman"/>
                <w:szCs w:val="21"/>
                <w:highlight w:val="none"/>
              </w:rPr>
            </w:pPr>
          </w:p>
        </w:tc>
        <w:tc>
          <w:tcPr>
            <w:tcW w:w="3185" w:type="dxa"/>
            <w:noWrap w:val="0"/>
            <w:vAlign w:val="top"/>
          </w:tcPr>
          <w:p w14:paraId="5F814BFE">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495" w:type="dxa"/>
            <w:noWrap w:val="0"/>
            <w:vAlign w:val="center"/>
          </w:tcPr>
          <w:p w14:paraId="51257ACB">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17B09447">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4519D5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3CB11E5">
            <w:pPr>
              <w:pageBreakBefore w:val="0"/>
              <w:kinsoku/>
              <w:wordWrap w:val="0"/>
              <w:bidi w:val="0"/>
              <w:spacing w:line="440" w:lineRule="exact"/>
              <w:jc w:val="center"/>
              <w:rPr>
                <w:rFonts w:hint="default" w:ascii="Times New Roman" w:hAnsi="Times New Roman" w:cs="Times New Roman"/>
                <w:szCs w:val="21"/>
                <w:highlight w:val="none"/>
              </w:rPr>
            </w:pPr>
          </w:p>
        </w:tc>
      </w:tr>
      <w:tr w14:paraId="6E3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4D11B23C">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施工机械小计金额： </w:t>
            </w:r>
            <w:r>
              <w:rPr>
                <w:rFonts w:hint="default" w:ascii="Times New Roman" w:hAnsi="Times New Roman" w:cs="Times New Roman"/>
                <w:szCs w:val="21"/>
                <w:highlight w:val="none"/>
                <w:u w:val="single"/>
              </w:rPr>
              <w:t>_____________</w:t>
            </w:r>
          </w:p>
          <w:p w14:paraId="59A17E05">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6D16F228">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5.2.4 计日工汇总表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1D1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E9DC71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5822" w:type="dxa"/>
            <w:noWrap w:val="0"/>
            <w:vAlign w:val="center"/>
          </w:tcPr>
          <w:p w14:paraId="0298661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金额</w:t>
            </w:r>
          </w:p>
        </w:tc>
        <w:tc>
          <w:tcPr>
            <w:tcW w:w="1455" w:type="dxa"/>
            <w:noWrap w:val="0"/>
            <w:vAlign w:val="center"/>
          </w:tcPr>
          <w:p w14:paraId="587843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F8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163ABA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劳务</w:t>
            </w:r>
          </w:p>
        </w:tc>
        <w:tc>
          <w:tcPr>
            <w:tcW w:w="5822" w:type="dxa"/>
            <w:noWrap w:val="0"/>
            <w:vAlign w:val="center"/>
          </w:tcPr>
          <w:p w14:paraId="2E74F2C8">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3B8264DA">
            <w:pPr>
              <w:pageBreakBefore w:val="0"/>
              <w:kinsoku/>
              <w:wordWrap w:val="0"/>
              <w:bidi w:val="0"/>
              <w:spacing w:line="440" w:lineRule="exact"/>
              <w:jc w:val="center"/>
              <w:rPr>
                <w:rFonts w:hint="default" w:ascii="Times New Roman" w:hAnsi="Times New Roman" w:cs="Times New Roman"/>
                <w:szCs w:val="21"/>
                <w:highlight w:val="none"/>
              </w:rPr>
            </w:pPr>
          </w:p>
        </w:tc>
      </w:tr>
      <w:tr w14:paraId="4ED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38B3138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w:t>
            </w:r>
          </w:p>
        </w:tc>
        <w:tc>
          <w:tcPr>
            <w:tcW w:w="5822" w:type="dxa"/>
            <w:noWrap w:val="0"/>
            <w:vAlign w:val="center"/>
          </w:tcPr>
          <w:p w14:paraId="47F555F2">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3F6A84C">
            <w:pPr>
              <w:pageBreakBefore w:val="0"/>
              <w:kinsoku/>
              <w:wordWrap w:val="0"/>
              <w:bidi w:val="0"/>
              <w:spacing w:line="440" w:lineRule="exact"/>
              <w:jc w:val="center"/>
              <w:rPr>
                <w:rFonts w:hint="default" w:ascii="Times New Roman" w:hAnsi="Times New Roman" w:cs="Times New Roman"/>
                <w:szCs w:val="21"/>
                <w:highlight w:val="none"/>
              </w:rPr>
            </w:pPr>
          </w:p>
        </w:tc>
      </w:tr>
      <w:tr w14:paraId="4CC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B61800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施工机械</w:t>
            </w:r>
          </w:p>
        </w:tc>
        <w:tc>
          <w:tcPr>
            <w:tcW w:w="5822" w:type="dxa"/>
            <w:noWrap w:val="0"/>
            <w:vAlign w:val="center"/>
          </w:tcPr>
          <w:p w14:paraId="66FF6615">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7D1C863">
            <w:pPr>
              <w:pageBreakBefore w:val="0"/>
              <w:kinsoku/>
              <w:wordWrap w:val="0"/>
              <w:bidi w:val="0"/>
              <w:spacing w:line="440" w:lineRule="exact"/>
              <w:jc w:val="center"/>
              <w:rPr>
                <w:rFonts w:hint="default" w:ascii="Times New Roman" w:hAnsi="Times New Roman" w:cs="Times New Roman"/>
                <w:szCs w:val="21"/>
                <w:highlight w:val="none"/>
              </w:rPr>
            </w:pPr>
          </w:p>
        </w:tc>
      </w:tr>
      <w:tr w14:paraId="502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noWrap w:val="0"/>
            <w:vAlign w:val="center"/>
          </w:tcPr>
          <w:p w14:paraId="2FD3C59F">
            <w:pPr>
              <w:pageBreakBefore w:val="0"/>
              <w:kinsoku/>
              <w:wordWrap w:val="0"/>
              <w:bidi w:val="0"/>
              <w:spacing w:line="440" w:lineRule="exact"/>
              <w:ind w:firstLine="3885" w:firstLineChars="18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计日工总计：</w:t>
            </w:r>
            <w:r>
              <w:rPr>
                <w:rFonts w:hint="default" w:ascii="Times New Roman" w:hAnsi="Times New Roman" w:cs="Times New Roman"/>
                <w:szCs w:val="21"/>
                <w:highlight w:val="none"/>
                <w:u w:val="single"/>
              </w:rPr>
              <w:t>_____________</w:t>
            </w:r>
          </w:p>
          <w:p w14:paraId="5A8E4C6D">
            <w:pPr>
              <w:pageBreakBefore w:val="0"/>
              <w:kinsoku/>
              <w:wordWrap w:val="0"/>
              <w:bidi w:val="0"/>
              <w:spacing w:line="440" w:lineRule="exact"/>
              <w:ind w:firstLine="3675" w:firstLineChars="17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投标报价汇总表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8BA120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 暂估价表</w:t>
      </w:r>
    </w:p>
    <w:p w14:paraId="7670253A">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5.3.1  材料暂估价表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80F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118C3D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D1C289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AD7CE3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0AFB2E2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391ADE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4AD06B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78969F2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529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8B39E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0DAEF6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042CC68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8645B2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1A1189C0">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2717C24">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7AA2EF7">
            <w:pPr>
              <w:pageBreakBefore w:val="0"/>
              <w:kinsoku/>
              <w:wordWrap w:val="0"/>
              <w:bidi w:val="0"/>
              <w:spacing w:line="440" w:lineRule="exact"/>
              <w:jc w:val="center"/>
              <w:rPr>
                <w:rFonts w:hint="default" w:ascii="Times New Roman" w:hAnsi="Times New Roman" w:cs="Times New Roman"/>
                <w:szCs w:val="21"/>
                <w:highlight w:val="none"/>
              </w:rPr>
            </w:pPr>
          </w:p>
        </w:tc>
      </w:tr>
      <w:tr w14:paraId="1AB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62535D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F83E4C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96140B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A4A99B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3851FE3">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0A7AA97">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C2548D">
            <w:pPr>
              <w:pageBreakBefore w:val="0"/>
              <w:kinsoku/>
              <w:wordWrap w:val="0"/>
              <w:bidi w:val="0"/>
              <w:spacing w:line="440" w:lineRule="exact"/>
              <w:jc w:val="center"/>
              <w:rPr>
                <w:rFonts w:hint="default" w:ascii="Times New Roman" w:hAnsi="Times New Roman" w:cs="Times New Roman"/>
                <w:szCs w:val="21"/>
                <w:highlight w:val="none"/>
              </w:rPr>
            </w:pPr>
          </w:p>
        </w:tc>
      </w:tr>
      <w:tr w14:paraId="5F8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CF2CB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20F6CB9">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02CB3F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FEDFF6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A06D172">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358436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344F47">
            <w:pPr>
              <w:pageBreakBefore w:val="0"/>
              <w:kinsoku/>
              <w:wordWrap w:val="0"/>
              <w:bidi w:val="0"/>
              <w:spacing w:line="440" w:lineRule="exact"/>
              <w:jc w:val="center"/>
              <w:rPr>
                <w:rFonts w:hint="default" w:ascii="Times New Roman" w:hAnsi="Times New Roman" w:cs="Times New Roman"/>
                <w:szCs w:val="21"/>
                <w:highlight w:val="none"/>
              </w:rPr>
            </w:pPr>
          </w:p>
        </w:tc>
      </w:tr>
      <w:tr w14:paraId="1A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10B067D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664BFE2">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43A01A5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55D424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36B614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6D0C7E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3DE5B7">
            <w:pPr>
              <w:pageBreakBefore w:val="0"/>
              <w:kinsoku/>
              <w:wordWrap w:val="0"/>
              <w:bidi w:val="0"/>
              <w:spacing w:line="440" w:lineRule="exact"/>
              <w:jc w:val="center"/>
              <w:rPr>
                <w:rFonts w:hint="default" w:ascii="Times New Roman" w:hAnsi="Times New Roman" w:cs="Times New Roman"/>
                <w:szCs w:val="21"/>
                <w:highlight w:val="none"/>
              </w:rPr>
            </w:pPr>
          </w:p>
        </w:tc>
      </w:tr>
      <w:tr w14:paraId="193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376166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DD96D3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D847338">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E9603E7">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D5AEDD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54F64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39D0FA70">
            <w:pPr>
              <w:pageBreakBefore w:val="0"/>
              <w:kinsoku/>
              <w:wordWrap w:val="0"/>
              <w:bidi w:val="0"/>
              <w:spacing w:line="440" w:lineRule="exact"/>
              <w:jc w:val="center"/>
              <w:rPr>
                <w:rFonts w:hint="default" w:ascii="Times New Roman" w:hAnsi="Times New Roman" w:cs="Times New Roman"/>
                <w:szCs w:val="21"/>
                <w:highlight w:val="none"/>
              </w:rPr>
            </w:pPr>
          </w:p>
        </w:tc>
      </w:tr>
      <w:tr w14:paraId="767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7418DA7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8B21BC6">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C51A6F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659F7E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1D2C756">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BB7894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4706A79">
            <w:pPr>
              <w:pageBreakBefore w:val="0"/>
              <w:kinsoku/>
              <w:wordWrap w:val="0"/>
              <w:bidi w:val="0"/>
              <w:spacing w:line="440" w:lineRule="exact"/>
              <w:jc w:val="center"/>
              <w:rPr>
                <w:rFonts w:hint="default" w:ascii="Times New Roman" w:hAnsi="Times New Roman" w:cs="Times New Roman"/>
                <w:szCs w:val="21"/>
                <w:highlight w:val="none"/>
              </w:rPr>
            </w:pPr>
          </w:p>
        </w:tc>
      </w:tr>
    </w:tbl>
    <w:p w14:paraId="02E2D2FA">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5.3.2 工程设备暂估价表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9E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B0EDF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B8A175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6C943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298463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665889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00B96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17B1DC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8E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979C6C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8CBA5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A3B5BA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D07372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23A5F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B9C2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E8A90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0FB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1A2C72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CB6246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066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64B6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CACDC1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C91DF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CFA37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4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38E80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F72F7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406323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8C2370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EC0BC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BCD2C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21BB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F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B58CE8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AB7C7B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5BB8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EF1B6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4DD0E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3F22E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1AE29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96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3D5A2F9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F71E5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1D41761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4EF36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A42B4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DBF503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2EDC0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1A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7600E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FD5CE4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01363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05C1EA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1D85A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14D22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566E5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A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705A3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459EB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8ED7C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3069F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0A06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8D82DB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F941C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7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2F7EB6B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6BEC2D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5DAE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6E492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F6C0E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579D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FC7FD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bl>
    <w:p w14:paraId="23B49CB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5.3.3  专业工程暂估价表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096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F9962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91" w:type="dxa"/>
            <w:noWrap w:val="0"/>
            <w:vAlign w:val="center"/>
          </w:tcPr>
          <w:p w14:paraId="719FC1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专业工程名称</w:t>
            </w:r>
          </w:p>
        </w:tc>
        <w:tc>
          <w:tcPr>
            <w:tcW w:w="5256" w:type="dxa"/>
            <w:noWrap w:val="0"/>
            <w:vAlign w:val="center"/>
          </w:tcPr>
          <w:p w14:paraId="14C04F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工程内容</w:t>
            </w:r>
          </w:p>
        </w:tc>
        <w:tc>
          <w:tcPr>
            <w:tcW w:w="1079" w:type="dxa"/>
            <w:noWrap w:val="0"/>
            <w:vAlign w:val="center"/>
          </w:tcPr>
          <w:p w14:paraId="15F6B32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w:t>
            </w:r>
          </w:p>
        </w:tc>
      </w:tr>
      <w:tr w14:paraId="17C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83DCA3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12F459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45656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D9ACD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D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BC20BE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A3C7F0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645509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5D4EF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6EC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8B0C1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7AA86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35B6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9675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1F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2E0C6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CBD84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274B2F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A28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C6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C91F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0313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E9640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2051F2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B2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76AD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399E8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B0916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4FC1A7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94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3E71E8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55C7E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302E5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3BC1C6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2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ECAD3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693044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4105BF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E96E4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8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5B859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3D1CF2B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87C1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8AB5D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98D01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0251FE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A3C90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D87D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20AE8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BF916F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0713B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535644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C0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E1D260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20E3F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1B13518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F4C81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B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3BBECA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73DF83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18C4CA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55AE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A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noWrap w:val="0"/>
            <w:vAlign w:val="center"/>
          </w:tcPr>
          <w:p w14:paraId="6CEBD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r>
    </w:tbl>
    <w:p w14:paraId="510533F7">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5.4 投标报价汇总表</w:t>
      </w:r>
    </w:p>
    <w:p w14:paraId="5A0B0D7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标段</w:t>
      </w:r>
    </w:p>
    <w:p w14:paraId="1BEB3CE9">
      <w:pPr>
        <w:pageBreakBefore w:val="0"/>
        <w:kinsoku/>
        <w:wordWrap w:val="0"/>
        <w:bidi w:val="0"/>
        <w:spacing w:line="440" w:lineRule="exact"/>
        <w:rPr>
          <w:rFonts w:hint="default" w:ascii="Times New Roman" w:hAnsi="Times New Roman" w:cs="Times New Roman"/>
          <w:sz w:val="24"/>
          <w:highlight w:val="none"/>
        </w:rPr>
      </w:pPr>
    </w:p>
    <w:tbl>
      <w:tblPr>
        <w:tblStyle w:val="40"/>
        <w:tblW w:w="0" w:type="auto"/>
        <w:tblInd w:w="0" w:type="dxa"/>
        <w:tblLayout w:type="fixed"/>
        <w:tblCellMar>
          <w:top w:w="0" w:type="dxa"/>
          <w:left w:w="108" w:type="dxa"/>
          <w:bottom w:w="0" w:type="dxa"/>
          <w:right w:w="108" w:type="dxa"/>
        </w:tblCellMar>
      </w:tblPr>
      <w:tblGrid>
        <w:gridCol w:w="828"/>
        <w:gridCol w:w="1065"/>
        <w:gridCol w:w="4725"/>
        <w:gridCol w:w="1902"/>
      </w:tblGrid>
      <w:tr w14:paraId="3CD9783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B20A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AC3D18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章次</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CA7EA70">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科目名称</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704D9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r>
      <w:tr w14:paraId="35A9FCD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DEAC068">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36271B6">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F04115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总则</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EAE83D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DBE78E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9EF78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F4C279">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BE19CB0">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路基</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5F27CF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E93211E">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D40E7E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D2B17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448A96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路面</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5D291AFC">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5BADF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6EC1DE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FF01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7F31911">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桥梁、涵洞</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728D72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46FF4D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C6FE0B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02D52F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E346CB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隧道</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680C54E4">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1936216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521D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8E3ADF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1EC8AC3">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安全设施及预埋管线</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91664AB">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28944A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F299F1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3F5953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5CC6D3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绿化及环境保护设施</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5FAE88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E618D42">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5A6DC1B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9065D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第100章~700章清单合计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D732162">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2B9A25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919BCB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D59F742">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AB000C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342B2F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3CFD30C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4EF1626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清单合计减去材料、工程设备、专业工程暂估价</w:t>
            </w:r>
          </w:p>
          <w:p w14:paraId="249559A7">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合计（即8-9=10）</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5973C5">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026528B9">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8C66E2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C5CA1E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B84C56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748E69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7669CCED">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1023DD0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暂列金额（不含计日工总额）</w:t>
            </w:r>
            <w:r>
              <w:rPr>
                <w:rStyle w:val="48"/>
                <w:rFonts w:hint="default" w:ascii="Times New Roman" w:hAnsi="Times New Roman" w:cs="Times New Roman"/>
                <w:szCs w:val="21"/>
                <w:highlight w:val="none"/>
              </w:rPr>
              <w:footnoteReference w:id="33"/>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1721B878">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263BEDF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264BA88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9CB461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投标报价（即8+11+12=13）</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DCD2DD7">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bl>
    <w:p w14:paraId="02E2C20C">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注：材料、工程设备、专业工程暂估价已包括在清单合计中，不应重复计入投标报价。</w:t>
      </w:r>
    </w:p>
    <w:p w14:paraId="03B1FDF6">
      <w:pPr>
        <w:pageBreakBefore w:val="0"/>
        <w:kinsoku/>
        <w:wordWrap w:val="0"/>
        <w:bidi w:val="0"/>
        <w:rPr>
          <w:rFonts w:hint="default" w:ascii="Times New Roman" w:hAnsi="Times New Roman" w:cs="Times New Roman"/>
          <w:sz w:val="24"/>
          <w:highlight w:val="none"/>
        </w:rPr>
      </w:pPr>
    </w:p>
    <w:p w14:paraId="5736FC52">
      <w:pPr>
        <w:pageBreakBefore w:val="0"/>
        <w:kinsoku/>
        <w:wordWrap w:val="0"/>
        <w:bidi w:val="0"/>
        <w:spacing w:line="440" w:lineRule="exact"/>
        <w:jc w:val="center"/>
        <w:rPr>
          <w:rFonts w:hint="default" w:ascii="Times New Roman" w:hAnsi="Times New Roman" w:eastAsia="黑体" w:cs="Times New Roman"/>
          <w:sz w:val="24"/>
          <w:highlight w:val="none"/>
        </w:rPr>
        <w:sectPr>
          <w:headerReference r:id="rId44" w:type="default"/>
          <w:footerReference r:id="rId46" w:type="default"/>
          <w:headerReference r:id="rId45" w:type="even"/>
          <w:footerReference r:id="rId4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9C9CFBC">
      <w:pPr>
        <w:pageBreakBefore w:val="0"/>
        <w:kinsoku/>
        <w:wordWrap w:val="0"/>
        <w:bidi w:val="0"/>
        <w:spacing w:line="440" w:lineRule="exact"/>
        <w:rPr>
          <w:rFonts w:hint="default" w:ascii="Times New Roman" w:hAnsi="Times New Roman" w:cs="Times New Roman"/>
          <w:sz w:val="24"/>
          <w:highlight w:val="none"/>
        </w:rPr>
      </w:pPr>
      <w:bookmarkStart w:id="1447" w:name="OLE_LINK1"/>
      <w:bookmarkStart w:id="1448" w:name="OLE_LINK2"/>
      <w:r>
        <w:rPr>
          <w:rFonts w:hint="default" w:ascii="Times New Roman" w:hAnsi="Times New Roman" w:cs="Times New Roman"/>
          <w:sz w:val="24"/>
          <w:highlight w:val="none"/>
        </w:rPr>
        <w:t>5.5 工程量清单单价分析表</w:t>
      </w:r>
    </w:p>
    <w:bookmarkEnd w:id="1447"/>
    <w:bookmarkEnd w:id="1448"/>
    <w:p w14:paraId="67D9B1EE">
      <w:pPr>
        <w:pageBreakBefore w:val="0"/>
        <w:kinsoku/>
        <w:wordWrap w:val="0"/>
        <w:bidi w:val="0"/>
        <w:spacing w:line="440" w:lineRule="exact"/>
        <w:rPr>
          <w:rFonts w:hint="default" w:ascii="Times New Roman" w:hAnsi="Times New Roman" w:eastAsia="黑体"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5CE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noWrap w:val="0"/>
            <w:vAlign w:val="center"/>
          </w:tcPr>
          <w:p w14:paraId="73E02179">
            <w:pPr>
              <w:pageBreakBefore w:val="0"/>
              <w:kinsoku/>
              <w:wordWrap w:val="0"/>
              <w:bidi w:val="0"/>
              <w:spacing w:line="440" w:lineRule="exact"/>
              <w:rPr>
                <w:rFonts w:hint="default" w:ascii="Times New Roman" w:hAnsi="Times New Roman" w:cs="Times New Roman"/>
                <w:highlight w:val="none"/>
              </w:rPr>
            </w:pPr>
            <w:r>
              <w:rPr>
                <w:rFonts w:hint="default" w:ascii="Times New Roman" w:hAnsi="Times New Roman" w:cs="Times New Roman"/>
                <w:highlight w:val="none"/>
              </w:rPr>
              <w:t>序号</w:t>
            </w:r>
          </w:p>
        </w:tc>
        <w:tc>
          <w:tcPr>
            <w:tcW w:w="879" w:type="dxa"/>
            <w:vMerge w:val="restart"/>
            <w:noWrap w:val="0"/>
            <w:vAlign w:val="center"/>
          </w:tcPr>
          <w:p w14:paraId="6E8D738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编码</w:t>
            </w:r>
          </w:p>
        </w:tc>
        <w:tc>
          <w:tcPr>
            <w:tcW w:w="1053" w:type="dxa"/>
            <w:vMerge w:val="restart"/>
            <w:noWrap w:val="0"/>
            <w:vAlign w:val="center"/>
          </w:tcPr>
          <w:p w14:paraId="3AFB910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子目名称</w:t>
            </w:r>
          </w:p>
        </w:tc>
        <w:tc>
          <w:tcPr>
            <w:tcW w:w="1751" w:type="dxa"/>
            <w:gridSpan w:val="3"/>
            <w:noWrap w:val="0"/>
            <w:vAlign w:val="center"/>
          </w:tcPr>
          <w:p w14:paraId="05F1E1F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人工费</w:t>
            </w:r>
          </w:p>
        </w:tc>
        <w:tc>
          <w:tcPr>
            <w:tcW w:w="4010" w:type="dxa"/>
            <w:gridSpan w:val="6"/>
            <w:noWrap w:val="0"/>
            <w:vAlign w:val="center"/>
          </w:tcPr>
          <w:p w14:paraId="6B4BDFB3">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材料费</w:t>
            </w:r>
          </w:p>
        </w:tc>
        <w:tc>
          <w:tcPr>
            <w:tcW w:w="883" w:type="dxa"/>
            <w:vMerge w:val="restart"/>
            <w:noWrap w:val="0"/>
            <w:vAlign w:val="center"/>
          </w:tcPr>
          <w:p w14:paraId="5BC0D18F">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机械使用费</w:t>
            </w:r>
          </w:p>
        </w:tc>
        <w:tc>
          <w:tcPr>
            <w:tcW w:w="883" w:type="dxa"/>
            <w:vMerge w:val="restart"/>
            <w:noWrap w:val="0"/>
            <w:vAlign w:val="center"/>
          </w:tcPr>
          <w:p w14:paraId="7469FCF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其他</w:t>
            </w:r>
          </w:p>
        </w:tc>
        <w:tc>
          <w:tcPr>
            <w:tcW w:w="883" w:type="dxa"/>
            <w:vMerge w:val="restart"/>
            <w:noWrap w:val="0"/>
            <w:vAlign w:val="center"/>
          </w:tcPr>
          <w:p w14:paraId="54E946D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管理费</w:t>
            </w:r>
          </w:p>
        </w:tc>
        <w:tc>
          <w:tcPr>
            <w:tcW w:w="883" w:type="dxa"/>
            <w:vMerge w:val="restart"/>
            <w:noWrap w:val="0"/>
            <w:vAlign w:val="center"/>
          </w:tcPr>
          <w:p w14:paraId="4BE53CA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税费</w:t>
            </w:r>
          </w:p>
        </w:tc>
        <w:tc>
          <w:tcPr>
            <w:tcW w:w="883" w:type="dxa"/>
            <w:vMerge w:val="restart"/>
            <w:noWrap w:val="0"/>
            <w:vAlign w:val="center"/>
          </w:tcPr>
          <w:p w14:paraId="762CAE8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利润</w:t>
            </w:r>
          </w:p>
        </w:tc>
        <w:tc>
          <w:tcPr>
            <w:tcW w:w="880" w:type="dxa"/>
            <w:vMerge w:val="restart"/>
            <w:noWrap w:val="0"/>
            <w:vAlign w:val="center"/>
          </w:tcPr>
          <w:p w14:paraId="11F2846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综合</w:t>
            </w:r>
          </w:p>
          <w:p w14:paraId="45CA7D16">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r>
      <w:tr w14:paraId="797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noWrap w:val="0"/>
            <w:vAlign w:val="center"/>
          </w:tcPr>
          <w:p w14:paraId="4913FF19">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0D5C0D7E">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31F4D4D6">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restart"/>
            <w:noWrap w:val="0"/>
            <w:vAlign w:val="center"/>
          </w:tcPr>
          <w:p w14:paraId="09C25859">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工日</w:t>
            </w:r>
          </w:p>
        </w:tc>
        <w:tc>
          <w:tcPr>
            <w:tcW w:w="582" w:type="dxa"/>
            <w:vMerge w:val="restart"/>
            <w:noWrap w:val="0"/>
            <w:vAlign w:val="center"/>
          </w:tcPr>
          <w:p w14:paraId="34B6164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587" w:type="dxa"/>
            <w:vMerge w:val="restart"/>
            <w:noWrap w:val="0"/>
            <w:vAlign w:val="center"/>
          </w:tcPr>
          <w:p w14:paraId="2F421FC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2653" w:type="dxa"/>
            <w:gridSpan w:val="4"/>
            <w:noWrap w:val="0"/>
            <w:vAlign w:val="center"/>
          </w:tcPr>
          <w:p w14:paraId="59FE869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w:t>
            </w:r>
          </w:p>
        </w:tc>
        <w:tc>
          <w:tcPr>
            <w:tcW w:w="626" w:type="dxa"/>
            <w:vMerge w:val="restart"/>
            <w:noWrap w:val="0"/>
            <w:vAlign w:val="center"/>
          </w:tcPr>
          <w:p w14:paraId="1E4E5184">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辅材费</w:t>
            </w:r>
          </w:p>
        </w:tc>
        <w:tc>
          <w:tcPr>
            <w:tcW w:w="731" w:type="dxa"/>
            <w:vMerge w:val="restart"/>
            <w:noWrap w:val="0"/>
            <w:vAlign w:val="center"/>
          </w:tcPr>
          <w:p w14:paraId="06F9F71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883" w:type="dxa"/>
            <w:vMerge w:val="continue"/>
            <w:noWrap w:val="0"/>
            <w:vAlign w:val="center"/>
          </w:tcPr>
          <w:p w14:paraId="1CA53B4C">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4C215C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7F3BB26">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E645BA">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305F87B">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30D58955">
            <w:pPr>
              <w:pageBreakBefore w:val="0"/>
              <w:kinsoku/>
              <w:wordWrap w:val="0"/>
              <w:bidi w:val="0"/>
              <w:spacing w:line="440" w:lineRule="exact"/>
              <w:jc w:val="center"/>
              <w:rPr>
                <w:rFonts w:hint="default" w:ascii="Times New Roman" w:hAnsi="Times New Roman" w:cs="Times New Roman"/>
                <w:highlight w:val="none"/>
              </w:rPr>
            </w:pPr>
          </w:p>
        </w:tc>
      </w:tr>
      <w:tr w14:paraId="10C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noWrap w:val="0"/>
            <w:vAlign w:val="center"/>
          </w:tcPr>
          <w:p w14:paraId="0636F4F7">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1901CD1D">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5DF9534E">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2191D638">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6D4315F9">
            <w:pPr>
              <w:pageBreakBefore w:val="0"/>
              <w:kinsoku/>
              <w:wordWrap w:val="0"/>
              <w:bidi w:val="0"/>
              <w:spacing w:line="440" w:lineRule="exact"/>
              <w:jc w:val="center"/>
              <w:rPr>
                <w:rFonts w:hint="default" w:ascii="Times New Roman" w:hAnsi="Times New Roman" w:cs="Times New Roman"/>
                <w:highlight w:val="none"/>
              </w:rPr>
            </w:pPr>
          </w:p>
        </w:tc>
        <w:tc>
          <w:tcPr>
            <w:tcW w:w="587" w:type="dxa"/>
            <w:vMerge w:val="continue"/>
            <w:noWrap w:val="0"/>
            <w:vAlign w:val="center"/>
          </w:tcPr>
          <w:p w14:paraId="3C61ADA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329D33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主材耗量</w:t>
            </w:r>
          </w:p>
        </w:tc>
        <w:tc>
          <w:tcPr>
            <w:tcW w:w="662" w:type="dxa"/>
            <w:noWrap w:val="0"/>
            <w:vAlign w:val="center"/>
          </w:tcPr>
          <w:p w14:paraId="0DD160B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单位</w:t>
            </w:r>
          </w:p>
        </w:tc>
        <w:tc>
          <w:tcPr>
            <w:tcW w:w="662" w:type="dxa"/>
            <w:noWrap w:val="0"/>
            <w:vAlign w:val="center"/>
          </w:tcPr>
          <w:p w14:paraId="1513D680">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667" w:type="dxa"/>
            <w:noWrap w:val="0"/>
            <w:vAlign w:val="center"/>
          </w:tcPr>
          <w:p w14:paraId="250AFCDC">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主材费</w:t>
            </w:r>
          </w:p>
        </w:tc>
        <w:tc>
          <w:tcPr>
            <w:tcW w:w="626" w:type="dxa"/>
            <w:vMerge w:val="continue"/>
            <w:noWrap w:val="0"/>
            <w:vAlign w:val="center"/>
          </w:tcPr>
          <w:p w14:paraId="08E58057">
            <w:pPr>
              <w:pageBreakBefore w:val="0"/>
              <w:kinsoku/>
              <w:wordWrap w:val="0"/>
              <w:bidi w:val="0"/>
              <w:spacing w:line="440" w:lineRule="exact"/>
              <w:jc w:val="center"/>
              <w:rPr>
                <w:rFonts w:hint="default" w:ascii="Times New Roman" w:hAnsi="Times New Roman" w:cs="Times New Roman"/>
                <w:highlight w:val="none"/>
              </w:rPr>
            </w:pPr>
          </w:p>
        </w:tc>
        <w:tc>
          <w:tcPr>
            <w:tcW w:w="731" w:type="dxa"/>
            <w:vMerge w:val="continue"/>
            <w:noWrap w:val="0"/>
            <w:vAlign w:val="center"/>
          </w:tcPr>
          <w:p w14:paraId="34E05F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2110DB30">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7C98EC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E39C091">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1E91B90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A958E1">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2D29DC03">
            <w:pPr>
              <w:pageBreakBefore w:val="0"/>
              <w:kinsoku/>
              <w:wordWrap w:val="0"/>
              <w:bidi w:val="0"/>
              <w:spacing w:line="440" w:lineRule="exact"/>
              <w:jc w:val="center"/>
              <w:rPr>
                <w:rFonts w:hint="default" w:ascii="Times New Roman" w:hAnsi="Times New Roman" w:cs="Times New Roman"/>
                <w:highlight w:val="none"/>
              </w:rPr>
            </w:pPr>
          </w:p>
        </w:tc>
      </w:tr>
      <w:tr w14:paraId="07B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10E88EBD">
            <w:pPr>
              <w:pageBreakBefore w:val="0"/>
              <w:kinsoku/>
              <w:wordWrap w:val="0"/>
              <w:bidi w:val="0"/>
              <w:spacing w:line="440" w:lineRule="exact"/>
              <w:rPr>
                <w:rFonts w:hint="default" w:ascii="Times New Roman" w:hAnsi="Times New Roman" w:cs="Times New Roman"/>
                <w:highlight w:val="none"/>
              </w:rPr>
            </w:pPr>
          </w:p>
        </w:tc>
        <w:tc>
          <w:tcPr>
            <w:tcW w:w="879" w:type="dxa"/>
            <w:noWrap w:val="0"/>
            <w:vAlign w:val="center"/>
          </w:tcPr>
          <w:p w14:paraId="62E5AC8C">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862766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5800EC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1DBD916">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8B637A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4EB9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F80AB9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321626">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C2E47FF">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B36A26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4855D8B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FE02F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D1251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0EDE6D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FF00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74B0C6C">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7C96F04">
            <w:pPr>
              <w:pageBreakBefore w:val="0"/>
              <w:kinsoku/>
              <w:wordWrap w:val="0"/>
              <w:bidi w:val="0"/>
              <w:spacing w:line="440" w:lineRule="exact"/>
              <w:jc w:val="center"/>
              <w:rPr>
                <w:rFonts w:hint="default" w:ascii="Times New Roman" w:hAnsi="Times New Roman" w:cs="Times New Roman"/>
                <w:highlight w:val="none"/>
              </w:rPr>
            </w:pPr>
          </w:p>
        </w:tc>
      </w:tr>
      <w:tr w14:paraId="3F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2ACF4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83C62EE">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E8F144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CE45D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8BCF1D">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F2D57B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CBFC65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AEA2C10">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D8CAB17">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6D61144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0254F0B2">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ABC33D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1EA398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12125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A98819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08E801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A12B0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CB3C10B">
            <w:pPr>
              <w:pageBreakBefore w:val="0"/>
              <w:kinsoku/>
              <w:wordWrap w:val="0"/>
              <w:bidi w:val="0"/>
              <w:spacing w:line="440" w:lineRule="exact"/>
              <w:jc w:val="center"/>
              <w:rPr>
                <w:rFonts w:hint="default" w:ascii="Times New Roman" w:hAnsi="Times New Roman" w:cs="Times New Roman"/>
                <w:highlight w:val="none"/>
              </w:rPr>
            </w:pPr>
          </w:p>
        </w:tc>
      </w:tr>
      <w:tr w14:paraId="25D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12D592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D5934D6">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203297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CC59B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E4F3D54">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5A7E6E4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21BCB1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80937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A6B50D1">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40C06C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686FF9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B19CD1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AACCF8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43551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0E98C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DA9607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EAB69CB">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3DEDEF8B">
            <w:pPr>
              <w:pageBreakBefore w:val="0"/>
              <w:kinsoku/>
              <w:wordWrap w:val="0"/>
              <w:bidi w:val="0"/>
              <w:spacing w:line="440" w:lineRule="exact"/>
              <w:jc w:val="center"/>
              <w:rPr>
                <w:rFonts w:hint="default" w:ascii="Times New Roman" w:hAnsi="Times New Roman" w:cs="Times New Roman"/>
                <w:highlight w:val="none"/>
              </w:rPr>
            </w:pPr>
          </w:p>
        </w:tc>
      </w:tr>
      <w:tr w14:paraId="34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2DEF6C0">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31C5D60">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5D3572ED">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407A70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6754EA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F5D10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037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43C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B41DE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CEF5A9A">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8BE5D5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066447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60E47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51659C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0F7486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DCB4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3249DC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98D5EBA">
            <w:pPr>
              <w:pageBreakBefore w:val="0"/>
              <w:kinsoku/>
              <w:wordWrap w:val="0"/>
              <w:bidi w:val="0"/>
              <w:spacing w:line="440" w:lineRule="exact"/>
              <w:jc w:val="center"/>
              <w:rPr>
                <w:rFonts w:hint="default" w:ascii="Times New Roman" w:hAnsi="Times New Roman" w:cs="Times New Roman"/>
                <w:highlight w:val="none"/>
              </w:rPr>
            </w:pPr>
          </w:p>
        </w:tc>
      </w:tr>
      <w:tr w14:paraId="57A9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DD7A94C">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366A3AF">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788CEF15">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161DCEE">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7614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30A237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2CC7F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00717D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1824F1F">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95BC04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A9A763A">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086ABC0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020C03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85263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373D5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B6EF4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48B601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6217BA9C">
            <w:pPr>
              <w:pageBreakBefore w:val="0"/>
              <w:kinsoku/>
              <w:wordWrap w:val="0"/>
              <w:bidi w:val="0"/>
              <w:spacing w:line="440" w:lineRule="exact"/>
              <w:jc w:val="center"/>
              <w:rPr>
                <w:rFonts w:hint="default" w:ascii="Times New Roman" w:hAnsi="Times New Roman" w:cs="Times New Roman"/>
                <w:highlight w:val="none"/>
              </w:rPr>
            </w:pPr>
          </w:p>
        </w:tc>
      </w:tr>
      <w:tr w14:paraId="6B9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01604C1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463F6E1">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284004A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3AE0A1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22214E1">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5B964F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D1FED75">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5F1E5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3535163">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D07C296">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99D439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84D958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CBF96C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CFB641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CEB140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B345E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51A3B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EF1C26B">
            <w:pPr>
              <w:pageBreakBefore w:val="0"/>
              <w:kinsoku/>
              <w:wordWrap w:val="0"/>
              <w:bidi w:val="0"/>
              <w:spacing w:line="440" w:lineRule="exact"/>
              <w:jc w:val="center"/>
              <w:rPr>
                <w:rFonts w:hint="default" w:ascii="Times New Roman" w:hAnsi="Times New Roman" w:cs="Times New Roman"/>
                <w:highlight w:val="none"/>
              </w:rPr>
            </w:pPr>
          </w:p>
        </w:tc>
      </w:tr>
      <w:tr w14:paraId="435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2B6CF31">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98F424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E3254B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9CC54F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69B6DC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37E143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E1CE20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D6A22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F021D9B">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19FFD5">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A310D97">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3D4160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95A338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AEEA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DBF9D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7A105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1F11750">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18D32C4D">
            <w:pPr>
              <w:pageBreakBefore w:val="0"/>
              <w:kinsoku/>
              <w:wordWrap w:val="0"/>
              <w:bidi w:val="0"/>
              <w:spacing w:line="440" w:lineRule="exact"/>
              <w:jc w:val="center"/>
              <w:rPr>
                <w:rFonts w:hint="default" w:ascii="Times New Roman" w:hAnsi="Times New Roman" w:cs="Times New Roman"/>
                <w:highlight w:val="none"/>
              </w:rPr>
            </w:pPr>
          </w:p>
        </w:tc>
      </w:tr>
      <w:tr w14:paraId="196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3C682C45">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517E0EB">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653988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366B19">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48CA5D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5F7343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4C2C18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F5821E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80114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1D8D7F3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50974E5D">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B4BE4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CC4EF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70C16E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544D2B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55BE07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6C19A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08A7C4DC">
            <w:pPr>
              <w:pageBreakBefore w:val="0"/>
              <w:kinsoku/>
              <w:wordWrap w:val="0"/>
              <w:bidi w:val="0"/>
              <w:spacing w:line="440" w:lineRule="exact"/>
              <w:jc w:val="center"/>
              <w:rPr>
                <w:rFonts w:hint="default" w:ascii="Times New Roman" w:hAnsi="Times New Roman" w:cs="Times New Roman"/>
                <w:highlight w:val="none"/>
              </w:rPr>
            </w:pPr>
          </w:p>
        </w:tc>
      </w:tr>
      <w:tr w14:paraId="1F2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E2F0F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1349135">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62B13FE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D184A4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2CD676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CE4390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7344F4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913E2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AC15F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819631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384DC29E">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1AD2F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E938CC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50843C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A71E4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1B5948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BE2C3D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48D8202">
            <w:pPr>
              <w:pageBreakBefore w:val="0"/>
              <w:kinsoku/>
              <w:wordWrap w:val="0"/>
              <w:bidi w:val="0"/>
              <w:spacing w:line="440" w:lineRule="exact"/>
              <w:jc w:val="center"/>
              <w:rPr>
                <w:rFonts w:hint="default" w:ascii="Times New Roman" w:hAnsi="Times New Roman" w:cs="Times New Roman"/>
                <w:highlight w:val="none"/>
              </w:rPr>
            </w:pPr>
          </w:p>
        </w:tc>
      </w:tr>
      <w:tr w14:paraId="1C0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21931F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C9B9839">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00F4458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58FFADC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5DD86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117D9D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98245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975AF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C036B8E">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3EA775B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CCF048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1173AB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7991E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82B0E6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AE6EA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4D6C8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436FF76">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4210CD15">
            <w:pPr>
              <w:pageBreakBefore w:val="0"/>
              <w:kinsoku/>
              <w:wordWrap w:val="0"/>
              <w:bidi w:val="0"/>
              <w:spacing w:line="440" w:lineRule="exact"/>
              <w:jc w:val="center"/>
              <w:rPr>
                <w:rFonts w:hint="default" w:ascii="Times New Roman" w:hAnsi="Times New Roman" w:cs="Times New Roman"/>
                <w:highlight w:val="none"/>
              </w:rPr>
            </w:pPr>
          </w:p>
        </w:tc>
      </w:tr>
      <w:tr w14:paraId="1A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DBA1042">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3936319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FD8538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46EC8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84D222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24C5C5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D40449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BBC5F4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BB6F8B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A83CB4">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59DBEB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1114B75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0B3DEA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68464A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B28BFB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EC3FB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6EA381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9C615E0">
            <w:pPr>
              <w:pageBreakBefore w:val="0"/>
              <w:kinsoku/>
              <w:wordWrap w:val="0"/>
              <w:bidi w:val="0"/>
              <w:spacing w:line="440" w:lineRule="exact"/>
              <w:jc w:val="center"/>
              <w:rPr>
                <w:rFonts w:hint="default" w:ascii="Times New Roman" w:hAnsi="Times New Roman" w:cs="Times New Roman"/>
                <w:highlight w:val="none"/>
              </w:rPr>
            </w:pPr>
          </w:p>
        </w:tc>
      </w:tr>
    </w:tbl>
    <w:p w14:paraId="3D824625">
      <w:pPr>
        <w:pageBreakBefore w:val="0"/>
        <w:kinsoku/>
        <w:wordWrap w:val="0"/>
        <w:bidi w:val="0"/>
        <w:spacing w:line="440" w:lineRule="exact"/>
        <w:rPr>
          <w:rFonts w:hint="default" w:ascii="Times New Roman" w:hAnsi="Times New Roman" w:eastAsia="黑体" w:cs="Times New Roman"/>
          <w:sz w:val="29"/>
          <w:szCs w:val="29"/>
          <w:highlight w:val="none"/>
        </w:rPr>
        <w:sectPr>
          <w:footerReference r:id="rId48" w:type="default"/>
          <w:footnotePr>
            <w:numFmt w:val="decimalEnclosedCircleChinese"/>
            <w:numRestart w:val="eachPage"/>
          </w:footnotePr>
          <w:pgSz w:w="16840" w:h="11907" w:orient="landscape"/>
          <w:pgMar w:top="1644" w:right="1588" w:bottom="1588" w:left="1474" w:header="851" w:footer="851" w:gutter="0"/>
          <w:pgNumType w:fmt="decimal"/>
          <w:cols w:space="720" w:num="1"/>
          <w:docGrid w:linePitch="312" w:charSpace="0"/>
        </w:sectPr>
      </w:pPr>
    </w:p>
    <w:p w14:paraId="194FD84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0C5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107B4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52DED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DBC77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FAC26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88330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7654E4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B64C9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1F8D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95DD6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D5057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BBE33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075E12">
      <w:pPr>
        <w:pageBreakBefore w:val="0"/>
        <w:kinsoku/>
        <w:wordWrap w:val="0"/>
        <w:bidi w:val="0"/>
        <w:jc w:val="center"/>
        <w:outlineLvl w:val="0"/>
        <w:rPr>
          <w:rFonts w:hint="default" w:ascii="Times New Roman" w:hAnsi="Times New Roman" w:eastAsia="黑体" w:cs="Times New Roman"/>
          <w:sz w:val="76"/>
          <w:szCs w:val="76"/>
          <w:highlight w:val="none"/>
        </w:rPr>
      </w:pPr>
      <w:bookmarkStart w:id="1449" w:name="_Toc234833247"/>
      <w:bookmarkStart w:id="1450" w:name="_Toc7411"/>
      <w:bookmarkStart w:id="1451" w:name="_Toc12197"/>
      <w:r>
        <w:rPr>
          <w:rFonts w:hint="default" w:ascii="Times New Roman" w:hAnsi="Times New Roman" w:eastAsia="黑体" w:cs="Times New Roman"/>
          <w:sz w:val="76"/>
          <w:szCs w:val="76"/>
          <w:highlight w:val="none"/>
        </w:rPr>
        <w:t>第  二  卷</w:t>
      </w:r>
      <w:bookmarkEnd w:id="1449"/>
      <w:bookmarkEnd w:id="1450"/>
      <w:bookmarkEnd w:id="1451"/>
    </w:p>
    <w:p w14:paraId="4E7F59A9">
      <w:pPr>
        <w:pageBreakBefore w:val="0"/>
        <w:kinsoku/>
        <w:wordWrap w:val="0"/>
        <w:bidi w:val="0"/>
        <w:jc w:val="center"/>
        <w:rPr>
          <w:rFonts w:hint="default" w:ascii="Times New Roman" w:hAnsi="Times New Roman" w:eastAsia="黑体" w:cs="Times New Roman"/>
          <w:sz w:val="76"/>
          <w:szCs w:val="76"/>
          <w:highlight w:val="none"/>
        </w:rPr>
      </w:pPr>
    </w:p>
    <w:p w14:paraId="4F177B61">
      <w:pPr>
        <w:pageBreakBefore w:val="0"/>
        <w:kinsoku/>
        <w:wordWrap w:val="0"/>
        <w:bidi w:val="0"/>
        <w:jc w:val="center"/>
        <w:rPr>
          <w:rFonts w:hint="default" w:ascii="Times New Roman" w:hAnsi="Times New Roman" w:eastAsia="黑体" w:cs="Times New Roman"/>
          <w:sz w:val="76"/>
          <w:szCs w:val="76"/>
          <w:highlight w:val="none"/>
        </w:rPr>
        <w:sectPr>
          <w:headerReference r:id="rId49" w:type="default"/>
          <w:footerReference r:id="rId51" w:type="default"/>
          <w:headerReference r:id="rId50" w:type="even"/>
          <w:footerReference r:id="rId52"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401BD34C">
      <w:pPr>
        <w:pageBreakBefore w:val="0"/>
        <w:kinsoku/>
        <w:wordWrap w:val="0"/>
        <w:bidi w:val="0"/>
        <w:jc w:val="center"/>
        <w:rPr>
          <w:rFonts w:hint="default" w:ascii="Times New Roman" w:hAnsi="Times New Roman" w:eastAsia="黑体" w:cs="Times New Roman"/>
          <w:sz w:val="76"/>
          <w:szCs w:val="76"/>
          <w:highlight w:val="none"/>
        </w:rPr>
      </w:pPr>
    </w:p>
    <w:p w14:paraId="5A1480A4">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9345EE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28928BF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A701958">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085E6E06">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BB1BE43">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768A94F5">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30B6DA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ACA23E7">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178DEB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52" w:name="_Toc16740"/>
      <w:bookmarkStart w:id="1453" w:name="_Toc2995"/>
      <w:bookmarkStart w:id="1454" w:name="_Toc234833248"/>
      <w:r>
        <w:rPr>
          <w:rFonts w:hint="default" w:ascii="Times New Roman" w:hAnsi="Times New Roman" w:eastAsia="黑体" w:cs="Times New Roman"/>
          <w:b w:val="0"/>
          <w:sz w:val="56"/>
          <w:szCs w:val="56"/>
          <w:highlight w:val="none"/>
        </w:rPr>
        <w:t>第六章  图纸（另册）</w:t>
      </w:r>
      <w:bookmarkEnd w:id="1452"/>
      <w:bookmarkEnd w:id="1453"/>
      <w:bookmarkEnd w:id="1454"/>
    </w:p>
    <w:p w14:paraId="4CC2A962">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6CE9B163">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15E02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E4507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7458C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BE5085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996F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9E73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CE993A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13BB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58E8E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A95AAF">
      <w:pPr>
        <w:pageBreakBefore w:val="0"/>
        <w:kinsoku/>
        <w:wordWrap w:val="0"/>
        <w:bidi w:val="0"/>
        <w:jc w:val="center"/>
        <w:outlineLvl w:val="0"/>
        <w:rPr>
          <w:rFonts w:hint="default" w:ascii="Times New Roman" w:hAnsi="Times New Roman" w:eastAsia="黑体" w:cs="Times New Roman"/>
          <w:sz w:val="76"/>
          <w:szCs w:val="76"/>
          <w:highlight w:val="none"/>
        </w:rPr>
      </w:pPr>
      <w:bookmarkStart w:id="1455" w:name="_Toc234833249"/>
      <w:bookmarkStart w:id="1456" w:name="_Toc5182"/>
      <w:bookmarkStart w:id="1457" w:name="_Toc26613"/>
      <w:r>
        <w:rPr>
          <w:rFonts w:hint="default" w:ascii="Times New Roman" w:hAnsi="Times New Roman" w:eastAsia="黑体" w:cs="Times New Roman"/>
          <w:sz w:val="76"/>
          <w:szCs w:val="76"/>
          <w:highlight w:val="none"/>
        </w:rPr>
        <w:t>第  三  卷</w:t>
      </w:r>
      <w:bookmarkEnd w:id="1455"/>
      <w:r>
        <w:rPr>
          <w:rFonts w:hint="default" w:ascii="Times New Roman" w:hAnsi="Times New Roman" w:eastAsia="黑体" w:cs="Times New Roman"/>
          <w:sz w:val="76"/>
          <w:szCs w:val="76"/>
          <w:highlight w:val="none"/>
        </w:rPr>
        <w:br w:type="page"/>
      </w:r>
      <w:bookmarkEnd w:id="1456"/>
      <w:bookmarkEnd w:id="1457"/>
    </w:p>
    <w:p w14:paraId="587FE15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B67D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947AA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5EB2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C1504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5DA55A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408022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E56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30EA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E38FE5C">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58" w:name="_Toc234833250"/>
      <w:bookmarkStart w:id="1459" w:name="_Toc15452"/>
      <w:bookmarkStart w:id="1460" w:name="_Toc15579"/>
      <w:r>
        <w:rPr>
          <w:rFonts w:hint="default" w:ascii="Times New Roman" w:hAnsi="Times New Roman" w:eastAsia="黑体" w:cs="Times New Roman"/>
          <w:b w:val="0"/>
          <w:sz w:val="56"/>
          <w:szCs w:val="56"/>
          <w:highlight w:val="none"/>
        </w:rPr>
        <w:t>第七章  技术规范（另册）</w:t>
      </w:r>
      <w:bookmarkEnd w:id="1458"/>
      <w:bookmarkEnd w:id="1459"/>
      <w:bookmarkEnd w:id="1460"/>
    </w:p>
    <w:p w14:paraId="27346BF3">
      <w:pPr>
        <w:pageBreakBefore w:val="0"/>
        <w:kinsoku/>
        <w:wordWrap w:val="0"/>
        <w:bidi w:val="0"/>
        <w:spacing w:line="440" w:lineRule="exact"/>
        <w:rPr>
          <w:rFonts w:hint="default" w:ascii="Times New Roman" w:hAnsi="Times New Roman" w:eastAsia="黑体" w:cs="Times New Roman"/>
          <w:sz w:val="20"/>
          <w:szCs w:val="20"/>
          <w:highlight w:val="none"/>
        </w:rPr>
      </w:pPr>
    </w:p>
    <w:p w14:paraId="2161C3B3">
      <w:pPr>
        <w:pageBreakBefore w:val="0"/>
        <w:kinsoku/>
        <w:wordWrap w:val="0"/>
        <w:bidi w:val="0"/>
        <w:spacing w:line="440" w:lineRule="exact"/>
        <w:rPr>
          <w:rFonts w:hint="default" w:ascii="Times New Roman" w:hAnsi="Times New Roman" w:eastAsia="黑体" w:cs="Times New Roman"/>
          <w:sz w:val="20"/>
          <w:szCs w:val="20"/>
          <w:highlight w:val="none"/>
        </w:rPr>
      </w:pPr>
    </w:p>
    <w:p w14:paraId="103FAB2B">
      <w:pPr>
        <w:pageBreakBefore w:val="0"/>
        <w:kinsoku/>
        <w:wordWrap w:val="0"/>
        <w:bidi w:val="0"/>
        <w:spacing w:line="440" w:lineRule="exact"/>
        <w:rPr>
          <w:rFonts w:hint="default" w:ascii="Times New Roman" w:hAnsi="Times New Roman" w:eastAsia="黑体" w:cs="Times New Roman"/>
          <w:sz w:val="20"/>
          <w:szCs w:val="20"/>
          <w:highlight w:val="none"/>
        </w:rPr>
      </w:pPr>
    </w:p>
    <w:p w14:paraId="647A1CAB">
      <w:pPr>
        <w:pageBreakBefore w:val="0"/>
        <w:kinsoku/>
        <w:wordWrap w:val="0"/>
        <w:bidi w:val="0"/>
        <w:jc w:val="center"/>
        <w:rPr>
          <w:rFonts w:hint="default" w:ascii="Times New Roman" w:hAnsi="Times New Roman" w:eastAsia="黑体" w:cs="Times New Roman"/>
          <w:sz w:val="76"/>
          <w:szCs w:val="76"/>
          <w:highlight w:val="none"/>
        </w:rPr>
      </w:pPr>
      <w:r>
        <w:rPr>
          <w:rFonts w:hint="default" w:ascii="Times New Roman" w:hAnsi="Times New Roman" w:eastAsia="黑体" w:cs="Times New Roman"/>
          <w:sz w:val="20"/>
          <w:szCs w:val="20"/>
          <w:highlight w:val="none"/>
        </w:rPr>
        <w:br w:type="page"/>
      </w:r>
    </w:p>
    <w:p w14:paraId="4EA72E8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27B3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E37A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3BCD8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FF75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2FAC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D9314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72070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966C15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28FAE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61" w:name="_Toc5201"/>
      <w:bookmarkStart w:id="1462" w:name="_Toc31352"/>
      <w:r>
        <w:rPr>
          <w:rFonts w:hint="default" w:ascii="Times New Roman" w:hAnsi="Times New Roman" w:eastAsia="黑体" w:cs="Times New Roman"/>
          <w:b w:val="0"/>
          <w:sz w:val="56"/>
          <w:szCs w:val="56"/>
          <w:highlight w:val="none"/>
        </w:rPr>
        <w:t>第八章  工程量清单计量规则</w:t>
      </w:r>
      <w:bookmarkEnd w:id="1461"/>
      <w:bookmarkEnd w:id="1462"/>
    </w:p>
    <w:p w14:paraId="013E911D">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sz w:val="56"/>
          <w:szCs w:val="56"/>
          <w:highlight w:val="none"/>
        </w:rPr>
      </w:pPr>
      <w:bookmarkStart w:id="1463" w:name="_Toc470752702"/>
      <w:bookmarkStart w:id="1464" w:name="_Toc501257474"/>
      <w:r>
        <w:rPr>
          <w:rFonts w:hint="default" w:ascii="Times New Roman" w:hAnsi="Times New Roman" w:eastAsia="黑体" w:cs="Times New Roman"/>
          <w:b w:val="0"/>
          <w:sz w:val="56"/>
          <w:szCs w:val="56"/>
          <w:highlight w:val="none"/>
        </w:rPr>
        <w:t>（另</w:t>
      </w:r>
      <w:r>
        <w:rPr>
          <w:rFonts w:hint="default" w:ascii="Times New Roman" w:hAnsi="Times New Roman" w:eastAsia="黑体" w:cs="Times New Roman"/>
          <w:b w:val="0"/>
          <w:sz w:val="56"/>
          <w:szCs w:val="56"/>
          <w:highlight w:val="none"/>
          <w:lang w:eastAsia="zh-CN"/>
        </w:rPr>
        <w:t xml:space="preserve">   </w:t>
      </w:r>
      <w:r>
        <w:rPr>
          <w:rFonts w:hint="default" w:ascii="Times New Roman" w:hAnsi="Times New Roman" w:eastAsia="黑体" w:cs="Times New Roman"/>
          <w:b w:val="0"/>
          <w:sz w:val="56"/>
          <w:szCs w:val="56"/>
          <w:highlight w:val="none"/>
        </w:rPr>
        <w:t>册）</w:t>
      </w:r>
      <w:bookmarkEnd w:id="1463"/>
      <w:bookmarkEnd w:id="1464"/>
    </w:p>
    <w:p w14:paraId="4BBA1729">
      <w:pPr>
        <w:pageBreakBefore w:val="0"/>
        <w:kinsoku/>
        <w:wordWrap w:val="0"/>
        <w:bidi w:val="0"/>
        <w:spacing w:line="440" w:lineRule="exact"/>
        <w:rPr>
          <w:rFonts w:hint="default" w:ascii="Times New Roman" w:hAnsi="Times New Roman" w:eastAsia="黑体" w:cs="Times New Roman"/>
          <w:sz w:val="20"/>
          <w:szCs w:val="20"/>
          <w:highlight w:val="none"/>
        </w:rPr>
      </w:pPr>
    </w:p>
    <w:p w14:paraId="5437C9BA">
      <w:pPr>
        <w:pageBreakBefore w:val="0"/>
        <w:kinsoku/>
        <w:wordWrap w:val="0"/>
        <w:bidi w:val="0"/>
        <w:spacing w:line="440" w:lineRule="exact"/>
        <w:rPr>
          <w:rFonts w:hint="default" w:ascii="Times New Roman" w:hAnsi="Times New Roman" w:eastAsia="黑体" w:cs="Times New Roman"/>
          <w:sz w:val="20"/>
          <w:szCs w:val="20"/>
          <w:highlight w:val="none"/>
        </w:rPr>
      </w:pPr>
    </w:p>
    <w:p w14:paraId="56A55FB6">
      <w:pPr>
        <w:pageBreakBefore w:val="0"/>
        <w:kinsoku/>
        <w:wordWrap w:val="0"/>
        <w:bidi w:val="0"/>
        <w:spacing w:line="440" w:lineRule="exact"/>
        <w:rPr>
          <w:rFonts w:hint="default" w:ascii="Times New Roman" w:hAnsi="Times New Roman" w:eastAsia="黑体" w:cs="Times New Roman"/>
          <w:sz w:val="20"/>
          <w:szCs w:val="20"/>
          <w:highlight w:val="none"/>
        </w:rPr>
      </w:pPr>
    </w:p>
    <w:p w14:paraId="303B0B45">
      <w:pPr>
        <w:pageBreakBefore w:val="0"/>
        <w:kinsoku/>
        <w:wordWrap w:val="0"/>
        <w:bidi w:val="0"/>
        <w:spacing w:line="440" w:lineRule="exact"/>
        <w:rPr>
          <w:rFonts w:hint="default" w:ascii="Times New Roman" w:hAnsi="Times New Roman" w:eastAsia="黑体" w:cs="Times New Roman"/>
          <w:sz w:val="20"/>
          <w:szCs w:val="20"/>
          <w:highlight w:val="none"/>
        </w:rPr>
      </w:pPr>
    </w:p>
    <w:p w14:paraId="53C720B3">
      <w:pPr>
        <w:pageBreakBefore w:val="0"/>
        <w:kinsoku/>
        <w:wordWrap w:val="0"/>
        <w:bidi w:val="0"/>
        <w:spacing w:line="440" w:lineRule="exact"/>
        <w:rPr>
          <w:rFonts w:hint="default" w:ascii="Times New Roman" w:hAnsi="Times New Roman" w:eastAsia="黑体" w:cs="Times New Roman"/>
          <w:sz w:val="20"/>
          <w:szCs w:val="20"/>
          <w:highlight w:val="none"/>
        </w:rPr>
      </w:pPr>
    </w:p>
    <w:p w14:paraId="7D18D66B">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20"/>
          <w:szCs w:val="20"/>
          <w:highlight w:val="none"/>
        </w:rPr>
        <w:br w:type="page"/>
      </w:r>
    </w:p>
    <w:p w14:paraId="68EA3D1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6464EF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7943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02DAE5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A11FC8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398A3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995FE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4F679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95CF3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5CFE15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0035827">
      <w:pPr>
        <w:pageBreakBefore w:val="0"/>
        <w:kinsoku/>
        <w:wordWrap w:val="0"/>
        <w:bidi w:val="0"/>
        <w:jc w:val="center"/>
        <w:outlineLvl w:val="0"/>
        <w:rPr>
          <w:rFonts w:hint="default" w:ascii="Times New Roman" w:hAnsi="Times New Roman" w:eastAsia="黑体" w:cs="Times New Roman"/>
          <w:sz w:val="29"/>
          <w:szCs w:val="29"/>
          <w:highlight w:val="none"/>
        </w:rPr>
      </w:pPr>
      <w:bookmarkStart w:id="1465" w:name="_Toc234833251"/>
      <w:bookmarkStart w:id="1466" w:name="_Toc2682"/>
      <w:bookmarkStart w:id="1467" w:name="_Toc6883"/>
      <w:r>
        <w:rPr>
          <w:rFonts w:hint="default" w:ascii="Times New Roman" w:hAnsi="Times New Roman" w:eastAsia="黑体" w:cs="Times New Roman"/>
          <w:sz w:val="76"/>
          <w:szCs w:val="76"/>
          <w:highlight w:val="none"/>
        </w:rPr>
        <w:t>第  四  卷</w:t>
      </w:r>
      <w:bookmarkEnd w:id="1465"/>
      <w:r>
        <w:rPr>
          <w:rFonts w:hint="default" w:ascii="Times New Roman" w:hAnsi="Times New Roman" w:eastAsia="黑体" w:cs="Times New Roman"/>
          <w:sz w:val="76"/>
          <w:szCs w:val="76"/>
          <w:highlight w:val="none"/>
        </w:rPr>
        <w:br w:type="page"/>
      </w:r>
      <w:bookmarkEnd w:id="1466"/>
      <w:bookmarkEnd w:id="1467"/>
    </w:p>
    <w:p w14:paraId="385116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4699AE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CEF0B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29ABD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B14F66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19746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55D469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72291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3A451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7FF507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68" w:name="_Toc234833252"/>
      <w:bookmarkStart w:id="1469" w:name="_Toc29196"/>
      <w:bookmarkStart w:id="1470" w:name="_Toc29271"/>
      <w:r>
        <w:rPr>
          <w:rFonts w:hint="default" w:ascii="Times New Roman" w:hAnsi="Times New Roman" w:eastAsia="黑体" w:cs="Times New Roman"/>
          <w:b w:val="0"/>
          <w:sz w:val="56"/>
          <w:szCs w:val="56"/>
          <w:highlight w:val="none"/>
        </w:rPr>
        <w:t>第九章  投标文件格式</w:t>
      </w:r>
      <w:r>
        <w:rPr>
          <w:rStyle w:val="48"/>
          <w:rFonts w:hint="default" w:ascii="Times New Roman" w:hAnsi="Times New Roman" w:eastAsia="黑体" w:cs="Times New Roman"/>
          <w:sz w:val="56"/>
          <w:szCs w:val="56"/>
          <w:highlight w:val="none"/>
        </w:rPr>
        <w:footnoteReference w:id="34"/>
      </w:r>
      <w:bookmarkEnd w:id="1468"/>
      <w:bookmarkEnd w:id="1469"/>
      <w:bookmarkEnd w:id="1470"/>
    </w:p>
    <w:p w14:paraId="3786E9A2">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7BC3BE6F">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088E6AB">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1DDAB3D">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25ED9FBF">
      <w:pPr>
        <w:pageBreakBefore w:val="0"/>
        <w:kinsoku/>
        <w:wordWrap w:val="0"/>
        <w:bidi w:val="0"/>
        <w:spacing w:line="440" w:lineRule="exact"/>
        <w:rPr>
          <w:rFonts w:hint="default" w:ascii="Times New Roman" w:hAnsi="Times New Roman" w:eastAsia="黑体" w:cs="Times New Roman"/>
          <w:sz w:val="24"/>
          <w:highlight w:val="none"/>
          <w:lang w:val="en-US"/>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eastAsia="zh-CN"/>
        </w:rPr>
        <w:t>）</w:t>
      </w:r>
      <w:r>
        <w:rPr>
          <w:rFonts w:hint="default" w:ascii="Times New Roman" w:hAnsi="Times New Roman" w:eastAsia="黑体" w:cs="Times New Roman"/>
          <w:b w:val="0"/>
          <w:bCs w:val="0"/>
          <w:sz w:val="31"/>
          <w:szCs w:val="31"/>
          <w:highlight w:val="none"/>
          <w:lang w:val="en-US" w:eastAsia="zh-CN"/>
        </w:rPr>
        <w:t>施工招标</w:t>
      </w:r>
    </w:p>
    <w:p w14:paraId="7B1FEE4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995A0A1">
      <w:pPr>
        <w:pageBreakBefore w:val="0"/>
        <w:kinsoku/>
        <w:wordWrap w:val="0"/>
        <w:bidi w:val="0"/>
        <w:spacing w:line="440" w:lineRule="exact"/>
        <w:rPr>
          <w:rFonts w:hint="default" w:ascii="Times New Roman" w:hAnsi="Times New Roman" w:eastAsia="黑体" w:cs="Times New Roman"/>
          <w:sz w:val="40"/>
          <w:szCs w:val="40"/>
          <w:highlight w:val="none"/>
        </w:rPr>
      </w:pPr>
    </w:p>
    <w:p w14:paraId="363BA1A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7B60CD65">
      <w:pPr>
        <w:pStyle w:val="16"/>
        <w:rPr>
          <w:rFonts w:hint="default" w:ascii="Times New Roman" w:hAnsi="Times New Roman" w:eastAsia="黑体" w:cs="Times New Roman"/>
          <w:sz w:val="40"/>
          <w:szCs w:val="40"/>
          <w:highlight w:val="none"/>
        </w:rPr>
      </w:pPr>
    </w:p>
    <w:p w14:paraId="6D07EF2D">
      <w:pPr>
        <w:pStyle w:val="16"/>
        <w:rPr>
          <w:rFonts w:hint="default" w:ascii="Times New Roman" w:hAnsi="Times New Roman" w:eastAsia="黑体" w:cs="Times New Roman"/>
          <w:sz w:val="40"/>
          <w:szCs w:val="40"/>
          <w:highlight w:val="none"/>
        </w:rPr>
      </w:pPr>
    </w:p>
    <w:p w14:paraId="1D458D92">
      <w:pPr>
        <w:pStyle w:val="16"/>
        <w:rPr>
          <w:rFonts w:hint="default" w:ascii="Times New Roman" w:hAnsi="Times New Roman" w:eastAsia="黑体" w:cs="Times New Roman"/>
          <w:sz w:val="40"/>
          <w:szCs w:val="40"/>
          <w:highlight w:val="none"/>
        </w:rPr>
      </w:pPr>
    </w:p>
    <w:p w14:paraId="527A2488">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5A60CF6">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67FC6AD5">
      <w:pPr>
        <w:pStyle w:val="2"/>
        <w:pageBreakBefore w:val="0"/>
        <w:kinsoku/>
        <w:wordWrap/>
        <w:bidi w:val="0"/>
        <w:spacing w:before="0" w:after="0" w:line="360" w:lineRule="auto"/>
        <w:jc w:val="center"/>
        <w:rPr>
          <w:rFonts w:hint="default" w:ascii="Times New Roman" w:hAnsi="Times New Roman" w:eastAsia="黑体" w:cs="Times New Roman"/>
          <w:b w:val="0"/>
          <w:sz w:val="30"/>
          <w:szCs w:val="30"/>
          <w:highlight w:val="none"/>
        </w:rPr>
      </w:pPr>
      <w:bookmarkStart w:id="1471" w:name="_Toc1346"/>
      <w:bookmarkStart w:id="1472" w:name="_Toc10592"/>
      <w:bookmarkStart w:id="1473" w:name="_Toc11276"/>
      <w:bookmarkStart w:id="1474" w:name="_Toc23497"/>
      <w:r>
        <w:rPr>
          <w:rFonts w:hint="default" w:ascii="Times New Roman" w:hAnsi="Times New Roman" w:eastAsia="黑体" w:cs="Times New Roman"/>
          <w:b w:val="0"/>
          <w:sz w:val="72"/>
          <w:szCs w:val="72"/>
          <w:highlight w:val="none"/>
        </w:rPr>
        <w:t xml:space="preserve">投  标  文  件 </w:t>
      </w:r>
      <w:r>
        <w:rPr>
          <w:rFonts w:hint="default" w:ascii="Times New Roman" w:hAnsi="Times New Roman" w:eastAsia="黑体" w:cs="Times New Roman"/>
          <w:b w:val="0"/>
          <w:sz w:val="30"/>
          <w:szCs w:val="30"/>
          <w:highlight w:val="none"/>
        </w:rPr>
        <w:t xml:space="preserve">                   </w:t>
      </w:r>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第一个信封 </w:t>
      </w:r>
      <w:r>
        <w:rPr>
          <w:rFonts w:hint="default" w:ascii="Times New Roman" w:hAnsi="Times New Roman" w:eastAsia="黑体" w:cs="Times New Roman"/>
          <w:b w:val="0"/>
          <w:sz w:val="32"/>
          <w:szCs w:val="32"/>
          <w:highlight w:val="none"/>
        </w:rPr>
        <w:t>商务及技术文件）</w:t>
      </w:r>
      <w:bookmarkEnd w:id="1471"/>
      <w:bookmarkEnd w:id="1472"/>
      <w:bookmarkEnd w:id="1473"/>
      <w:bookmarkEnd w:id="1474"/>
    </w:p>
    <w:p w14:paraId="1ADB56FC">
      <w:pPr>
        <w:pageBreakBefore w:val="0"/>
        <w:kinsoku/>
        <w:wordWrap w:val="0"/>
        <w:bidi w:val="0"/>
        <w:spacing w:line="440" w:lineRule="exact"/>
        <w:rPr>
          <w:rFonts w:hint="default" w:ascii="Times New Roman" w:hAnsi="Times New Roman" w:eastAsia="黑体" w:cs="Times New Roman"/>
          <w:sz w:val="20"/>
          <w:szCs w:val="20"/>
          <w:highlight w:val="none"/>
        </w:rPr>
      </w:pPr>
    </w:p>
    <w:p w14:paraId="66DB85AA">
      <w:pPr>
        <w:pageBreakBefore w:val="0"/>
        <w:kinsoku/>
        <w:wordWrap w:val="0"/>
        <w:bidi w:val="0"/>
        <w:spacing w:line="440" w:lineRule="exact"/>
        <w:rPr>
          <w:rFonts w:hint="default" w:ascii="Times New Roman" w:hAnsi="Times New Roman" w:eastAsia="黑体" w:cs="Times New Roman"/>
          <w:sz w:val="20"/>
          <w:szCs w:val="20"/>
          <w:highlight w:val="none"/>
        </w:rPr>
      </w:pPr>
    </w:p>
    <w:p w14:paraId="35301A3F">
      <w:pPr>
        <w:pageBreakBefore w:val="0"/>
        <w:kinsoku/>
        <w:wordWrap w:val="0"/>
        <w:bidi w:val="0"/>
        <w:spacing w:line="440" w:lineRule="exact"/>
        <w:rPr>
          <w:rFonts w:hint="default" w:ascii="Times New Roman" w:hAnsi="Times New Roman" w:eastAsia="黑体" w:cs="Times New Roman"/>
          <w:sz w:val="20"/>
          <w:szCs w:val="20"/>
          <w:highlight w:val="none"/>
        </w:rPr>
      </w:pPr>
    </w:p>
    <w:p w14:paraId="5E8C8608">
      <w:pPr>
        <w:pageBreakBefore w:val="0"/>
        <w:kinsoku/>
        <w:wordWrap w:val="0"/>
        <w:bidi w:val="0"/>
        <w:spacing w:line="440" w:lineRule="exact"/>
        <w:rPr>
          <w:rFonts w:hint="default" w:ascii="Times New Roman" w:hAnsi="Times New Roman" w:eastAsia="黑体" w:cs="Times New Roman"/>
          <w:sz w:val="20"/>
          <w:szCs w:val="20"/>
          <w:highlight w:val="none"/>
        </w:rPr>
      </w:pPr>
    </w:p>
    <w:p w14:paraId="6632BB15">
      <w:pPr>
        <w:pageBreakBefore w:val="0"/>
        <w:kinsoku/>
        <w:wordWrap w:val="0"/>
        <w:bidi w:val="0"/>
        <w:spacing w:line="440" w:lineRule="exact"/>
        <w:rPr>
          <w:rFonts w:hint="default" w:ascii="Times New Roman" w:hAnsi="Times New Roman" w:eastAsia="黑体" w:cs="Times New Roman"/>
          <w:sz w:val="20"/>
          <w:szCs w:val="20"/>
          <w:highlight w:val="none"/>
        </w:rPr>
      </w:pPr>
    </w:p>
    <w:p w14:paraId="74DADEA6">
      <w:pPr>
        <w:pageBreakBefore w:val="0"/>
        <w:kinsoku/>
        <w:wordWrap w:val="0"/>
        <w:bidi w:val="0"/>
        <w:spacing w:line="440" w:lineRule="exact"/>
        <w:rPr>
          <w:rFonts w:hint="default" w:ascii="Times New Roman" w:hAnsi="Times New Roman" w:eastAsia="黑体" w:cs="Times New Roman"/>
          <w:sz w:val="20"/>
          <w:szCs w:val="20"/>
          <w:highlight w:val="none"/>
        </w:rPr>
      </w:pPr>
    </w:p>
    <w:p w14:paraId="2C226E05">
      <w:pPr>
        <w:pageBreakBefore w:val="0"/>
        <w:kinsoku/>
        <w:wordWrap w:val="0"/>
        <w:bidi w:val="0"/>
        <w:spacing w:line="440" w:lineRule="exact"/>
        <w:rPr>
          <w:rFonts w:hint="default" w:ascii="Times New Roman" w:hAnsi="Times New Roman" w:eastAsia="黑体" w:cs="Times New Roman"/>
          <w:sz w:val="20"/>
          <w:szCs w:val="20"/>
          <w:highlight w:val="none"/>
        </w:rPr>
      </w:pPr>
    </w:p>
    <w:p w14:paraId="1D4A2C6C">
      <w:pPr>
        <w:pageBreakBefore w:val="0"/>
        <w:kinsoku/>
        <w:wordWrap w:val="0"/>
        <w:bidi w:val="0"/>
        <w:spacing w:line="440" w:lineRule="exact"/>
        <w:rPr>
          <w:rFonts w:hint="default" w:ascii="Times New Roman" w:hAnsi="Times New Roman" w:eastAsia="黑体" w:cs="Times New Roman"/>
          <w:sz w:val="20"/>
          <w:szCs w:val="20"/>
          <w:highlight w:val="none"/>
        </w:rPr>
      </w:pPr>
    </w:p>
    <w:p w14:paraId="7E8BE6F6">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color w:val="000000"/>
          <w:sz w:val="28"/>
          <w:highlight w:val="none"/>
          <w:lang w:eastAsia="zh-CN"/>
        </w:rPr>
        <w:t>盖单位电子印章</w:t>
      </w:r>
      <w:r>
        <w:rPr>
          <w:rFonts w:hint="default" w:ascii="Times New Roman" w:hAnsi="Times New Roman" w:eastAsia="黑体" w:cs="Times New Roman"/>
          <w:sz w:val="28"/>
          <w:szCs w:val="28"/>
          <w:highlight w:val="none"/>
        </w:rPr>
        <w:t>）</w:t>
      </w:r>
    </w:p>
    <w:p w14:paraId="78DC7C7F">
      <w:pPr>
        <w:pageBreakBefore w:val="0"/>
        <w:kinsoku/>
        <w:wordWrap w:val="0"/>
        <w:bidi w:val="0"/>
        <w:spacing w:line="440" w:lineRule="exact"/>
        <w:rPr>
          <w:rFonts w:hint="default" w:ascii="Times New Roman" w:hAnsi="Times New Roman" w:eastAsia="黑体" w:cs="Times New Roman"/>
          <w:sz w:val="28"/>
          <w:szCs w:val="28"/>
          <w:highlight w:val="none"/>
        </w:rPr>
      </w:pPr>
    </w:p>
    <w:p w14:paraId="676C016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4E5A91C8">
      <w:pPr>
        <w:pageBreakBefore w:val="0"/>
        <w:kinsoku/>
        <w:wordWrap w:val="0"/>
        <w:bidi w:val="0"/>
        <w:spacing w:line="440" w:lineRule="exact"/>
        <w:rPr>
          <w:rFonts w:hint="default" w:ascii="Times New Roman" w:hAnsi="Times New Roman" w:eastAsia="黑体" w:cs="Times New Roman"/>
          <w:sz w:val="28"/>
          <w:szCs w:val="28"/>
          <w:highlight w:val="none"/>
        </w:rPr>
      </w:pPr>
    </w:p>
    <w:p w14:paraId="7926B0F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0"/>
          <w:szCs w:val="20"/>
          <w:highlight w:val="none"/>
        </w:rPr>
        <w:br w:type="page"/>
      </w:r>
      <w:bookmarkStart w:id="1475" w:name="_Toc5289"/>
      <w:bookmarkStart w:id="1476" w:name="_Toc18939"/>
      <w:bookmarkStart w:id="1477" w:name="_Toc16968"/>
      <w:bookmarkStart w:id="1478" w:name="_Toc1426"/>
      <w:bookmarkStart w:id="1479" w:name="_Toc234833253"/>
      <w:r>
        <w:rPr>
          <w:rFonts w:hint="default" w:ascii="Times New Roman" w:hAnsi="Times New Roman" w:eastAsia="黑体" w:cs="Times New Roman"/>
          <w:b w:val="0"/>
          <w:sz w:val="30"/>
          <w:szCs w:val="30"/>
          <w:highlight w:val="none"/>
        </w:rPr>
        <w:t>目     录</w:t>
      </w:r>
      <w:bookmarkEnd w:id="1475"/>
      <w:bookmarkEnd w:id="1476"/>
      <w:bookmarkEnd w:id="1477"/>
      <w:bookmarkEnd w:id="1478"/>
      <w:bookmarkEnd w:id="1479"/>
    </w:p>
    <w:p w14:paraId="4519BAAE">
      <w:pPr>
        <w:pageBreakBefore w:val="0"/>
        <w:kinsoku/>
        <w:wordWrap w:val="0"/>
        <w:bidi w:val="0"/>
        <w:spacing w:line="440" w:lineRule="exact"/>
        <w:rPr>
          <w:rFonts w:hint="default" w:ascii="Times New Roman" w:hAnsi="Times New Roman" w:eastAsia="黑体" w:cs="Times New Roman"/>
          <w:sz w:val="20"/>
          <w:szCs w:val="20"/>
          <w:highlight w:val="none"/>
        </w:rPr>
      </w:pPr>
    </w:p>
    <w:p w14:paraId="0E4B42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一、投标函及投标函附录</w:t>
      </w:r>
    </w:p>
    <w:p w14:paraId="0A09CD3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二、授权委托书或法定代表人身份证明</w:t>
      </w:r>
    </w:p>
    <w:p w14:paraId="34326D3E">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三、联合体协议书</w:t>
      </w:r>
    </w:p>
    <w:p w14:paraId="3511A3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四、投标保证金</w:t>
      </w:r>
    </w:p>
    <w:p w14:paraId="029F7829">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五、施工组织设计</w:t>
      </w:r>
    </w:p>
    <w:p w14:paraId="4659559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六、项目管理机构</w:t>
      </w:r>
    </w:p>
    <w:p w14:paraId="7CB3D54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七、拟分包项目情况表</w:t>
      </w:r>
    </w:p>
    <w:p w14:paraId="004775A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八、资格审查资料</w:t>
      </w:r>
    </w:p>
    <w:p w14:paraId="579C68EA">
      <w:pPr>
        <w:pageBreakBefore w:val="0"/>
        <w:kinsoku/>
        <w:wordWrap w:val="0"/>
        <w:overflowPunct/>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九、投标人告知承诺函</w:t>
      </w:r>
    </w:p>
    <w:p w14:paraId="222833E8">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十、</w:t>
      </w:r>
      <w:r>
        <w:rPr>
          <w:rFonts w:hint="default" w:ascii="Times New Roman" w:hAnsi="Times New Roman" w:cs="Times New Roman"/>
          <w:sz w:val="24"/>
          <w:highlight w:val="none"/>
        </w:rPr>
        <w:t>其他资料</w:t>
      </w:r>
    </w:p>
    <w:p w14:paraId="21B99DA5">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2B1AE6D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80" w:name="_Toc234833254"/>
    </w:p>
    <w:bookmarkEnd w:id="1480"/>
    <w:p w14:paraId="4164D718">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bookmarkStart w:id="1481" w:name="_Toc234833255"/>
      <w:bookmarkStart w:id="1482" w:name="_Toc21625"/>
      <w:bookmarkStart w:id="1483" w:name="_Toc2030"/>
      <w:r>
        <w:rPr>
          <w:rFonts w:hint="default" w:ascii="Times New Roman" w:hAnsi="Times New Roman" w:eastAsia="黑体" w:cs="Times New Roman"/>
          <w:b w:val="0"/>
          <w:sz w:val="30"/>
          <w:szCs w:val="30"/>
          <w:highlight w:val="none"/>
        </w:rPr>
        <w:t>一、投标函及投标函附录</w:t>
      </w:r>
      <w:bookmarkEnd w:id="1481"/>
      <w:bookmarkEnd w:id="1482"/>
      <w:bookmarkEnd w:id="1483"/>
    </w:p>
    <w:p w14:paraId="27EC87E2">
      <w:pPr>
        <w:pStyle w:val="2"/>
        <w:pageBreakBefore w:val="0"/>
        <w:kinsoku/>
        <w:wordWrap w:val="0"/>
        <w:bidi w:val="0"/>
        <w:spacing w:before="360" w:beforeLines="150" w:after="240" w:afterLines="100" w:line="360" w:lineRule="atLeast"/>
        <w:jc w:val="center"/>
        <w:rPr>
          <w:rFonts w:hint="default" w:ascii="Times New Roman" w:hAnsi="Times New Roman" w:eastAsia="黑体" w:cs="Times New Roman"/>
          <w:b w:val="0"/>
          <w:sz w:val="28"/>
          <w:szCs w:val="28"/>
          <w:highlight w:val="none"/>
        </w:rPr>
      </w:pPr>
      <w:bookmarkStart w:id="1484" w:name="_Toc585"/>
      <w:bookmarkStart w:id="1485" w:name="_Toc5104"/>
      <w:bookmarkStart w:id="1486" w:name="_Toc234833256"/>
      <w:r>
        <w:rPr>
          <w:rFonts w:hint="default" w:ascii="Times New Roman" w:hAnsi="Times New Roman" w:eastAsia="黑体" w:cs="Times New Roman"/>
          <w:b w:val="0"/>
          <w:sz w:val="28"/>
          <w:szCs w:val="28"/>
          <w:highlight w:val="none"/>
        </w:rPr>
        <w:t>（一） 投 标 函</w:t>
      </w:r>
      <w:bookmarkEnd w:id="1484"/>
      <w:bookmarkEnd w:id="1485"/>
      <w:bookmarkEnd w:id="1486"/>
    </w:p>
    <w:p w14:paraId="4737E834">
      <w:pPr>
        <w:pageBreakBefore w:val="0"/>
        <w:kinsoku/>
        <w:wordWrap w:val="0"/>
        <w:bidi w:val="0"/>
        <w:spacing w:before="240" w:beforeLines="100" w:after="120" w:afterLines="50" w:line="36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2FF3F59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none"/>
        </w:rPr>
        <w:t>（标段名称）</w:t>
      </w:r>
      <w:r>
        <w:rPr>
          <w:rFonts w:hint="default" w:ascii="Times New Roman" w:hAnsi="Times New Roman" w:cs="Times New Roman"/>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4C2EC180">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2．我方承诺在招标文件规定的投标有效期内不撤销投标文件。</w:t>
      </w:r>
    </w:p>
    <w:p w14:paraId="38A84EF8">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3．工程质量：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，工期：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4354477A">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4．如我方中标，我方承诺：</w:t>
      </w:r>
    </w:p>
    <w:p w14:paraId="50A3B3C4">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（1）在收到中标通知书后，在中标通知书规定的期限内与你方签订合同；</w:t>
      </w:r>
    </w:p>
    <w:p w14:paraId="5037337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（2）在签订合同时不向你方提出附加条件；</w:t>
      </w:r>
    </w:p>
    <w:p w14:paraId="4AD0F7F1">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（3）按照招标文件要求提交履约保证金；</w:t>
      </w:r>
      <w:bookmarkStart w:id="1487" w:name="_Toc369531694"/>
      <w:bookmarkStart w:id="1488" w:name="_Toc352691658"/>
      <w:bookmarkStart w:id="1489" w:name="_Toc1187"/>
    </w:p>
    <w:p w14:paraId="2B473565">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（4）在合</w:t>
      </w:r>
      <w:bookmarkEnd w:id="1487"/>
      <w:bookmarkEnd w:id="1488"/>
      <w:bookmarkEnd w:id="1489"/>
      <w:r>
        <w:rPr>
          <w:rFonts w:hint="default" w:ascii="Times New Roman" w:hAnsi="Times New Roman" w:cs="Times New Roman"/>
          <w:sz w:val="24"/>
          <w:highlight w:val="none"/>
        </w:rPr>
        <w:t>同约定的期限内完成合同规定的全部义务；</w:t>
      </w:r>
    </w:p>
    <w:p w14:paraId="75096819">
      <w:pPr>
        <w:pageBreakBefore w:val="0"/>
        <w:kinsoku/>
        <w:wordWrap w:val="0"/>
        <w:bidi w:val="0"/>
        <w:spacing w:line="360" w:lineRule="atLeast"/>
        <w:ind w:firstLine="480" w:firstLineChars="200"/>
        <w:rPr>
          <w:rFonts w:hint="default" w:ascii="Times New Roman" w:hAnsi="Times New Roman" w:cs="Times New Roman"/>
          <w:sz w:val="24"/>
          <w:highlight w:val="none"/>
          <w:vertAlign w:val="superscript"/>
        </w:rPr>
      </w:pPr>
      <w:r>
        <w:rPr>
          <w:rFonts w:hint="default" w:ascii="Times New Roman" w:hAnsi="Times New Roman" w:cs="Times New Roman"/>
          <w:sz w:val="24"/>
          <w:highlight w:val="none"/>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sz w:val="24"/>
          <w:highlight w:val="none"/>
          <w:vertAlign w:val="superscript"/>
        </w:rPr>
        <w:footnoteReference w:id="35"/>
      </w:r>
    </w:p>
    <w:p w14:paraId="058F9C4F">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5．我方在此声明，所递交的投标文件及有关资料内容完整、真实和准确，且不存在招标文件第二章</w:t>
      </w:r>
      <w:r>
        <w:rPr>
          <w:rFonts w:hint="eastAsia" w:ascii="宋体" w:hAnsi="宋体" w:eastAsia="宋体" w:cs="宋体"/>
          <w:sz w:val="24"/>
          <w:highlight w:val="none"/>
        </w:rPr>
        <w:t>“</w:t>
      </w:r>
      <w:r>
        <w:rPr>
          <w:rFonts w:hint="default" w:ascii="Times New Roman" w:hAnsi="Times New Roman" w:cs="Times New Roman"/>
          <w:sz w:val="24"/>
          <w:highlight w:val="none"/>
        </w:rPr>
        <w:t>投标人须知</w:t>
      </w:r>
      <w:r>
        <w:rPr>
          <w:rFonts w:hint="eastAsia" w:ascii="宋体" w:hAnsi="宋体" w:eastAsia="宋体" w:cs="宋体"/>
          <w:sz w:val="24"/>
          <w:highlight w:val="none"/>
        </w:rPr>
        <w:t>”</w:t>
      </w:r>
      <w:r>
        <w:rPr>
          <w:rFonts w:hint="default" w:ascii="Times New Roman" w:hAnsi="Times New Roman" w:cs="Times New Roman"/>
          <w:sz w:val="24"/>
          <w:highlight w:val="none"/>
        </w:rPr>
        <w:t>第1.4.3项和第1.4.4项规定的任何一种情形。</w:t>
      </w:r>
    </w:p>
    <w:p w14:paraId="32293806">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6．在合同协议书正式签署生效之前，本投标函连同你方的中标通知书将构成我们双方之间共同遵守的文件，对双方具有约束力。</w:t>
      </w:r>
    </w:p>
    <w:p w14:paraId="75CEB707">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775B9FAE">
      <w:pPr>
        <w:pageBreakBefore w:val="0"/>
        <w:kinsoku/>
        <w:wordWrap w:val="0"/>
        <w:bidi w:val="0"/>
        <w:spacing w:line="360" w:lineRule="atLeast"/>
        <w:ind w:firstLine="480" w:firstLineChars="200"/>
        <w:rPr>
          <w:rFonts w:hint="default" w:ascii="Times New Roman" w:hAnsi="Times New Roman" w:cs="Times New Roman"/>
          <w:sz w:val="24"/>
          <w:highlight w:val="none"/>
        </w:rPr>
      </w:pPr>
    </w:p>
    <w:p w14:paraId="763E48D6">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193B377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0D34C7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1CBBF8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76940F2C">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F5F45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B88BABD">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68F7D068">
      <w:pPr>
        <w:pageBreakBefore w:val="0"/>
        <w:kinsoku/>
        <w:wordWrap w:val="0"/>
        <w:overflowPunct/>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E306611">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3"/>
          <w:szCs w:val="23"/>
          <w:highlight w:val="none"/>
        </w:rPr>
        <w:br w:type="page"/>
      </w:r>
      <w:bookmarkStart w:id="1490" w:name="_Toc28391"/>
      <w:bookmarkStart w:id="1491" w:name="_Toc234833257"/>
      <w:bookmarkStart w:id="1492" w:name="_Toc27486"/>
      <w:r>
        <w:rPr>
          <w:rFonts w:hint="default" w:ascii="Times New Roman" w:hAnsi="Times New Roman" w:eastAsia="黑体" w:cs="Times New Roman"/>
          <w:b w:val="0"/>
          <w:sz w:val="30"/>
          <w:szCs w:val="30"/>
          <w:highlight w:val="none"/>
        </w:rPr>
        <w:t>（二）投标函附录</w:t>
      </w:r>
      <w:bookmarkEnd w:id="1490"/>
      <w:bookmarkEnd w:id="1491"/>
      <w:bookmarkEnd w:id="1492"/>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24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4094437">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序号</w:t>
            </w:r>
          </w:p>
        </w:tc>
        <w:tc>
          <w:tcPr>
            <w:tcW w:w="2710" w:type="dxa"/>
            <w:noWrap w:val="0"/>
            <w:vAlign w:val="center"/>
          </w:tcPr>
          <w:p w14:paraId="2C2B43D5">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条款名称</w:t>
            </w:r>
          </w:p>
        </w:tc>
        <w:tc>
          <w:tcPr>
            <w:tcW w:w="1185" w:type="dxa"/>
            <w:noWrap w:val="0"/>
            <w:vAlign w:val="center"/>
          </w:tcPr>
          <w:p w14:paraId="44FF85C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合同条目号</w:t>
            </w:r>
          </w:p>
        </w:tc>
        <w:tc>
          <w:tcPr>
            <w:tcW w:w="3613" w:type="dxa"/>
            <w:noWrap w:val="0"/>
            <w:vAlign w:val="center"/>
          </w:tcPr>
          <w:p w14:paraId="4F458F8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约定内容</w:t>
            </w:r>
          </w:p>
        </w:tc>
        <w:tc>
          <w:tcPr>
            <w:tcW w:w="749" w:type="dxa"/>
            <w:noWrap w:val="0"/>
            <w:vAlign w:val="center"/>
          </w:tcPr>
          <w:p w14:paraId="2F3827DE">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备注</w:t>
            </w:r>
          </w:p>
        </w:tc>
      </w:tr>
      <w:tr w14:paraId="019D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B90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10" w:type="dxa"/>
            <w:noWrap w:val="0"/>
            <w:vAlign w:val="center"/>
          </w:tcPr>
          <w:p w14:paraId="3B816D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185" w:type="dxa"/>
            <w:noWrap w:val="0"/>
            <w:vAlign w:val="center"/>
          </w:tcPr>
          <w:p w14:paraId="63798BB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1.1.4.5</w:t>
            </w:r>
          </w:p>
        </w:tc>
        <w:tc>
          <w:tcPr>
            <w:tcW w:w="3613" w:type="dxa"/>
            <w:noWrap w:val="0"/>
            <w:vAlign w:val="center"/>
          </w:tcPr>
          <w:p w14:paraId="21977AC0">
            <w:pPr>
              <w:pageBreakBefore w:val="0"/>
              <w:kinsoku/>
              <w:wordWrap w:val="0"/>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CC8790C">
            <w:pPr>
              <w:pageBreakBefore w:val="0"/>
              <w:kinsoku/>
              <w:wordWrap w:val="0"/>
              <w:bidi w:val="0"/>
              <w:spacing w:line="400" w:lineRule="atLeast"/>
              <w:jc w:val="center"/>
              <w:rPr>
                <w:rFonts w:hint="default" w:ascii="Times New Roman" w:hAnsi="Times New Roman" w:cs="Times New Roman"/>
                <w:szCs w:val="21"/>
                <w:highlight w:val="none"/>
              </w:rPr>
            </w:pPr>
          </w:p>
        </w:tc>
      </w:tr>
      <w:tr w14:paraId="49D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4BEAA3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710" w:type="dxa"/>
            <w:noWrap w:val="0"/>
            <w:vAlign w:val="center"/>
          </w:tcPr>
          <w:p w14:paraId="3BF2EB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w:t>
            </w:r>
          </w:p>
        </w:tc>
        <w:tc>
          <w:tcPr>
            <w:tcW w:w="1185" w:type="dxa"/>
            <w:noWrap w:val="0"/>
            <w:vAlign w:val="center"/>
          </w:tcPr>
          <w:p w14:paraId="408DD3A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4EEB6E2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0B48AF1D">
            <w:pPr>
              <w:pageBreakBefore w:val="0"/>
              <w:kinsoku/>
              <w:wordWrap w:val="0"/>
              <w:bidi w:val="0"/>
              <w:spacing w:line="400" w:lineRule="atLeast"/>
              <w:jc w:val="center"/>
              <w:rPr>
                <w:rFonts w:hint="default" w:ascii="Times New Roman" w:hAnsi="Times New Roman" w:cs="Times New Roman"/>
                <w:szCs w:val="21"/>
                <w:highlight w:val="none"/>
              </w:rPr>
            </w:pPr>
          </w:p>
        </w:tc>
      </w:tr>
      <w:tr w14:paraId="6DE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6FBAB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710" w:type="dxa"/>
            <w:noWrap w:val="0"/>
            <w:vAlign w:val="center"/>
          </w:tcPr>
          <w:p w14:paraId="47B974F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逾期交工违约金限额</w:t>
            </w:r>
          </w:p>
        </w:tc>
        <w:tc>
          <w:tcPr>
            <w:tcW w:w="1185" w:type="dxa"/>
            <w:noWrap w:val="0"/>
            <w:vAlign w:val="center"/>
          </w:tcPr>
          <w:p w14:paraId="6C1175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67DD46AB">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6C4DEB2B">
            <w:pPr>
              <w:pageBreakBefore w:val="0"/>
              <w:kinsoku/>
              <w:wordWrap w:val="0"/>
              <w:bidi w:val="0"/>
              <w:spacing w:line="400" w:lineRule="atLeast"/>
              <w:jc w:val="center"/>
              <w:rPr>
                <w:rFonts w:hint="default" w:ascii="Times New Roman" w:hAnsi="Times New Roman" w:cs="Times New Roman"/>
                <w:szCs w:val="21"/>
                <w:highlight w:val="none"/>
              </w:rPr>
            </w:pPr>
          </w:p>
        </w:tc>
      </w:tr>
      <w:tr w14:paraId="78A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5754E2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2710" w:type="dxa"/>
            <w:noWrap w:val="0"/>
            <w:vAlign w:val="center"/>
          </w:tcPr>
          <w:p w14:paraId="3BF7E0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提前交工的奖金 </w:t>
            </w:r>
          </w:p>
        </w:tc>
        <w:tc>
          <w:tcPr>
            <w:tcW w:w="1185" w:type="dxa"/>
            <w:noWrap w:val="0"/>
            <w:vAlign w:val="center"/>
          </w:tcPr>
          <w:p w14:paraId="129F651F">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15E0C493">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4792A063">
            <w:pPr>
              <w:pageBreakBefore w:val="0"/>
              <w:kinsoku/>
              <w:wordWrap w:val="0"/>
              <w:bidi w:val="0"/>
              <w:spacing w:line="400" w:lineRule="atLeast"/>
              <w:jc w:val="center"/>
              <w:rPr>
                <w:rFonts w:hint="default" w:ascii="Times New Roman" w:hAnsi="Times New Roman" w:cs="Times New Roman"/>
                <w:szCs w:val="21"/>
                <w:highlight w:val="none"/>
              </w:rPr>
            </w:pPr>
          </w:p>
        </w:tc>
      </w:tr>
      <w:tr w14:paraId="112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B5D35D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710" w:type="dxa"/>
            <w:noWrap w:val="0"/>
            <w:vAlign w:val="center"/>
          </w:tcPr>
          <w:p w14:paraId="4AB4781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提前交工的奖金限额</w:t>
            </w:r>
          </w:p>
        </w:tc>
        <w:tc>
          <w:tcPr>
            <w:tcW w:w="1185" w:type="dxa"/>
            <w:noWrap w:val="0"/>
            <w:vAlign w:val="center"/>
          </w:tcPr>
          <w:p w14:paraId="6E2E1B31">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3E27310E">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484A5978">
            <w:pPr>
              <w:pageBreakBefore w:val="0"/>
              <w:kinsoku/>
              <w:wordWrap w:val="0"/>
              <w:bidi w:val="0"/>
              <w:spacing w:line="400" w:lineRule="atLeast"/>
              <w:jc w:val="center"/>
              <w:rPr>
                <w:rFonts w:hint="default" w:ascii="Times New Roman" w:hAnsi="Times New Roman" w:cs="Times New Roman"/>
                <w:szCs w:val="21"/>
                <w:highlight w:val="none"/>
              </w:rPr>
            </w:pPr>
          </w:p>
        </w:tc>
      </w:tr>
      <w:tr w14:paraId="673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0DF83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2710" w:type="dxa"/>
            <w:noWrap w:val="0"/>
            <w:vAlign w:val="center"/>
          </w:tcPr>
          <w:p w14:paraId="28A406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价格调整的差额计算</w:t>
            </w:r>
          </w:p>
        </w:tc>
        <w:tc>
          <w:tcPr>
            <w:tcW w:w="1185" w:type="dxa"/>
            <w:noWrap w:val="0"/>
            <w:vAlign w:val="center"/>
          </w:tcPr>
          <w:p w14:paraId="48A608C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16.1.1</w:t>
            </w:r>
          </w:p>
        </w:tc>
        <w:tc>
          <w:tcPr>
            <w:tcW w:w="3613" w:type="dxa"/>
            <w:noWrap w:val="0"/>
            <w:vAlign w:val="center"/>
          </w:tcPr>
          <w:p w14:paraId="02F4101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见价格指数和权重表</w:t>
            </w:r>
          </w:p>
        </w:tc>
        <w:tc>
          <w:tcPr>
            <w:tcW w:w="749" w:type="dxa"/>
            <w:noWrap w:val="0"/>
            <w:vAlign w:val="center"/>
          </w:tcPr>
          <w:p w14:paraId="797ADB69">
            <w:pPr>
              <w:pageBreakBefore w:val="0"/>
              <w:kinsoku/>
              <w:wordWrap w:val="0"/>
              <w:bidi w:val="0"/>
              <w:spacing w:line="400" w:lineRule="atLeast"/>
              <w:jc w:val="center"/>
              <w:rPr>
                <w:rFonts w:hint="default" w:ascii="Times New Roman" w:hAnsi="Times New Roman" w:cs="Times New Roman"/>
                <w:szCs w:val="21"/>
                <w:highlight w:val="none"/>
              </w:rPr>
            </w:pPr>
          </w:p>
        </w:tc>
      </w:tr>
      <w:tr w14:paraId="73C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88BF1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2710" w:type="dxa"/>
            <w:noWrap w:val="0"/>
            <w:vAlign w:val="center"/>
          </w:tcPr>
          <w:p w14:paraId="77D2F3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开工预付款金额</w:t>
            </w:r>
          </w:p>
        </w:tc>
        <w:tc>
          <w:tcPr>
            <w:tcW w:w="1185" w:type="dxa"/>
            <w:noWrap w:val="0"/>
            <w:vAlign w:val="center"/>
          </w:tcPr>
          <w:p w14:paraId="7CA63D42">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17.2.1（1）</w:t>
            </w:r>
          </w:p>
        </w:tc>
        <w:tc>
          <w:tcPr>
            <w:tcW w:w="3613" w:type="dxa"/>
            <w:noWrap w:val="0"/>
            <w:vAlign w:val="center"/>
          </w:tcPr>
          <w:p w14:paraId="24E26AF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5628D480">
            <w:pPr>
              <w:pageBreakBefore w:val="0"/>
              <w:kinsoku/>
              <w:wordWrap w:val="0"/>
              <w:bidi w:val="0"/>
              <w:spacing w:line="400" w:lineRule="atLeast"/>
              <w:jc w:val="center"/>
              <w:rPr>
                <w:rFonts w:hint="default" w:ascii="Times New Roman" w:hAnsi="Times New Roman" w:cs="Times New Roman"/>
                <w:szCs w:val="21"/>
                <w:highlight w:val="none"/>
              </w:rPr>
            </w:pPr>
          </w:p>
        </w:tc>
      </w:tr>
      <w:tr w14:paraId="1C6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4E654B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2710" w:type="dxa"/>
            <w:noWrap w:val="0"/>
            <w:vAlign w:val="center"/>
          </w:tcPr>
          <w:p w14:paraId="31065EE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材料、设备预付款比例</w:t>
            </w:r>
          </w:p>
        </w:tc>
        <w:tc>
          <w:tcPr>
            <w:tcW w:w="1185" w:type="dxa"/>
            <w:noWrap w:val="0"/>
            <w:vAlign w:val="center"/>
          </w:tcPr>
          <w:p w14:paraId="32B2D2D7">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17.2.1（2）</w:t>
            </w:r>
          </w:p>
        </w:tc>
        <w:tc>
          <w:tcPr>
            <w:tcW w:w="3613" w:type="dxa"/>
            <w:noWrap w:val="0"/>
            <w:vAlign w:val="center"/>
          </w:tcPr>
          <w:p w14:paraId="69FAB94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等主要材料、设备单据所列费用的</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w:t>
            </w:r>
          </w:p>
        </w:tc>
        <w:tc>
          <w:tcPr>
            <w:tcW w:w="749" w:type="dxa"/>
            <w:noWrap w:val="0"/>
            <w:vAlign w:val="center"/>
          </w:tcPr>
          <w:p w14:paraId="0760BF78">
            <w:pPr>
              <w:pageBreakBefore w:val="0"/>
              <w:kinsoku/>
              <w:wordWrap w:val="0"/>
              <w:bidi w:val="0"/>
              <w:spacing w:line="400" w:lineRule="atLeast"/>
              <w:jc w:val="center"/>
              <w:rPr>
                <w:rFonts w:hint="default" w:ascii="Times New Roman" w:hAnsi="Times New Roman" w:cs="Times New Roman"/>
                <w:szCs w:val="21"/>
                <w:highlight w:val="none"/>
              </w:rPr>
            </w:pPr>
          </w:p>
        </w:tc>
      </w:tr>
      <w:tr w14:paraId="266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A77948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2710" w:type="dxa"/>
            <w:noWrap w:val="0"/>
            <w:vAlign w:val="center"/>
          </w:tcPr>
          <w:p w14:paraId="35E71DA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进度付款证书最低限额</w:t>
            </w:r>
          </w:p>
        </w:tc>
        <w:tc>
          <w:tcPr>
            <w:tcW w:w="1185" w:type="dxa"/>
            <w:noWrap w:val="0"/>
            <w:vAlign w:val="center"/>
          </w:tcPr>
          <w:p w14:paraId="4B938FF5">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17.3.3（1）</w:t>
            </w:r>
          </w:p>
        </w:tc>
        <w:tc>
          <w:tcPr>
            <w:tcW w:w="3613" w:type="dxa"/>
            <w:noWrap w:val="0"/>
            <w:vAlign w:val="center"/>
          </w:tcPr>
          <w:p w14:paraId="768721FF">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%签约合同价或</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万元</w:t>
            </w:r>
          </w:p>
        </w:tc>
        <w:tc>
          <w:tcPr>
            <w:tcW w:w="749" w:type="dxa"/>
            <w:noWrap w:val="0"/>
            <w:vAlign w:val="center"/>
          </w:tcPr>
          <w:p w14:paraId="1BB4EB0A">
            <w:pPr>
              <w:pageBreakBefore w:val="0"/>
              <w:kinsoku/>
              <w:wordWrap w:val="0"/>
              <w:bidi w:val="0"/>
              <w:spacing w:line="400" w:lineRule="atLeast"/>
              <w:jc w:val="center"/>
              <w:rPr>
                <w:rFonts w:hint="default" w:ascii="Times New Roman" w:hAnsi="Times New Roman" w:cs="Times New Roman"/>
                <w:szCs w:val="21"/>
                <w:highlight w:val="none"/>
              </w:rPr>
            </w:pPr>
          </w:p>
        </w:tc>
      </w:tr>
      <w:tr w14:paraId="310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E0E537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2710" w:type="dxa"/>
            <w:noWrap w:val="0"/>
            <w:vAlign w:val="center"/>
          </w:tcPr>
          <w:p w14:paraId="3AF05A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逾期付款违约金的利率</w:t>
            </w:r>
          </w:p>
        </w:tc>
        <w:tc>
          <w:tcPr>
            <w:tcW w:w="1185" w:type="dxa"/>
            <w:noWrap w:val="0"/>
            <w:vAlign w:val="center"/>
          </w:tcPr>
          <w:p w14:paraId="53709D49">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17.3.3（2）</w:t>
            </w:r>
          </w:p>
        </w:tc>
        <w:tc>
          <w:tcPr>
            <w:tcW w:w="3613" w:type="dxa"/>
            <w:noWrap w:val="0"/>
            <w:vAlign w:val="center"/>
          </w:tcPr>
          <w:p w14:paraId="3D80EE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‰/天</w:t>
            </w:r>
          </w:p>
        </w:tc>
        <w:tc>
          <w:tcPr>
            <w:tcW w:w="749" w:type="dxa"/>
            <w:noWrap w:val="0"/>
            <w:vAlign w:val="center"/>
          </w:tcPr>
          <w:p w14:paraId="11D19C73">
            <w:pPr>
              <w:pageBreakBefore w:val="0"/>
              <w:kinsoku/>
              <w:wordWrap w:val="0"/>
              <w:bidi w:val="0"/>
              <w:spacing w:line="400" w:lineRule="atLeast"/>
              <w:jc w:val="center"/>
              <w:rPr>
                <w:rFonts w:hint="default" w:ascii="Times New Roman" w:hAnsi="Times New Roman" w:cs="Times New Roman"/>
                <w:szCs w:val="21"/>
                <w:highlight w:val="none"/>
              </w:rPr>
            </w:pPr>
          </w:p>
        </w:tc>
      </w:tr>
      <w:tr w14:paraId="035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58487B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2710" w:type="dxa"/>
            <w:noWrap w:val="0"/>
            <w:vAlign w:val="center"/>
          </w:tcPr>
          <w:p w14:paraId="0B48CFA1">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质量保证金金额</w:t>
            </w:r>
          </w:p>
        </w:tc>
        <w:tc>
          <w:tcPr>
            <w:tcW w:w="1185" w:type="dxa"/>
            <w:noWrap w:val="0"/>
            <w:vAlign w:val="center"/>
          </w:tcPr>
          <w:p w14:paraId="28DE56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17.4.1</w:t>
            </w:r>
          </w:p>
        </w:tc>
        <w:tc>
          <w:tcPr>
            <w:tcW w:w="3613" w:type="dxa"/>
            <w:noWrap w:val="0"/>
            <w:vAlign w:val="center"/>
          </w:tcPr>
          <w:p w14:paraId="704B24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%合同价格，若交工验收时承包人具备被招标项目所在地省级交通运输主管部门评定的最高信用等级，发包人给予</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%合同价格质量保证金的优惠</w:t>
            </w:r>
          </w:p>
        </w:tc>
        <w:tc>
          <w:tcPr>
            <w:tcW w:w="749" w:type="dxa"/>
            <w:noWrap w:val="0"/>
            <w:vAlign w:val="center"/>
          </w:tcPr>
          <w:p w14:paraId="04CF78CA">
            <w:pPr>
              <w:pageBreakBefore w:val="0"/>
              <w:kinsoku/>
              <w:wordWrap w:val="0"/>
              <w:bidi w:val="0"/>
              <w:spacing w:line="400" w:lineRule="atLeast"/>
              <w:jc w:val="center"/>
              <w:rPr>
                <w:rFonts w:hint="default" w:ascii="Times New Roman" w:hAnsi="Times New Roman" w:cs="Times New Roman"/>
                <w:szCs w:val="21"/>
                <w:highlight w:val="none"/>
              </w:rPr>
            </w:pPr>
          </w:p>
        </w:tc>
      </w:tr>
      <w:tr w14:paraId="28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AEBD42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2710" w:type="dxa"/>
            <w:noWrap w:val="0"/>
            <w:vAlign w:val="center"/>
          </w:tcPr>
          <w:p w14:paraId="7444742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保修期</w:t>
            </w:r>
          </w:p>
        </w:tc>
        <w:tc>
          <w:tcPr>
            <w:tcW w:w="1185" w:type="dxa"/>
            <w:noWrap w:val="0"/>
            <w:vAlign w:val="center"/>
          </w:tcPr>
          <w:p w14:paraId="3289D7DE">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19.7（1）</w:t>
            </w:r>
          </w:p>
        </w:tc>
        <w:tc>
          <w:tcPr>
            <w:tcW w:w="3613" w:type="dxa"/>
            <w:noWrap w:val="0"/>
            <w:vAlign w:val="center"/>
          </w:tcPr>
          <w:p w14:paraId="6B7C8C1A">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05C365C">
            <w:pPr>
              <w:pageBreakBefore w:val="0"/>
              <w:kinsoku/>
              <w:wordWrap w:val="0"/>
              <w:bidi w:val="0"/>
              <w:spacing w:line="400" w:lineRule="atLeast"/>
              <w:jc w:val="center"/>
              <w:rPr>
                <w:rFonts w:hint="default" w:ascii="Times New Roman" w:hAnsi="Times New Roman" w:cs="Times New Roman"/>
                <w:szCs w:val="21"/>
                <w:highlight w:val="none"/>
              </w:rPr>
            </w:pPr>
          </w:p>
        </w:tc>
      </w:tr>
    </w:tbl>
    <w:p w14:paraId="5719BFC9">
      <w:pPr>
        <w:pageBreakBefore w:val="0"/>
        <w:kinsoku/>
        <w:wordWrap w:val="0"/>
        <w:bidi w:val="0"/>
        <w:snapToGrid w:val="0"/>
        <w:spacing w:line="400" w:lineRule="atLeast"/>
        <w:ind w:firstLine="3240" w:firstLineChars="1350"/>
        <w:rPr>
          <w:rFonts w:hint="default" w:ascii="Times New Roman" w:hAnsi="Times New Roman" w:cs="Times New Roman"/>
          <w:sz w:val="24"/>
          <w:highlight w:val="none"/>
        </w:rPr>
      </w:pPr>
    </w:p>
    <w:p w14:paraId="582D1830">
      <w:pPr>
        <w:pageBreakBefore w:val="0"/>
        <w:kinsoku/>
        <w:wordWrap w:val="0"/>
        <w:bidi w:val="0"/>
        <w:spacing w:line="440" w:lineRule="exact"/>
        <w:rPr>
          <w:rFonts w:hint="default" w:ascii="Times New Roman" w:hAnsi="Times New Roman" w:eastAsia="黑体" w:cs="Times New Roman"/>
          <w:sz w:val="20"/>
          <w:szCs w:val="20"/>
          <w:highlight w:val="none"/>
        </w:rPr>
      </w:pPr>
    </w:p>
    <w:p w14:paraId="474C8098">
      <w:pPr>
        <w:pageBreakBefore w:val="0"/>
        <w:kinsoku/>
        <w:wordWrap w:val="0"/>
        <w:bidi w:val="0"/>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价格指数和权重表</w:t>
      </w:r>
    </w:p>
    <w:p w14:paraId="7EA408A9">
      <w:pPr>
        <w:pageBreakBefore w:val="0"/>
        <w:kinsoku/>
        <w:wordWrap w:val="0"/>
        <w:bidi w:val="0"/>
        <w:spacing w:line="440" w:lineRule="exact"/>
        <w:jc w:val="center"/>
        <w:rPr>
          <w:rFonts w:hint="default" w:ascii="Times New Roman" w:hAnsi="Times New Roman" w:eastAsia="黑体" w:cs="Times New Roman"/>
          <w:sz w:val="24"/>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F2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1E3AFC42">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648" w:type="dxa"/>
            <w:gridSpan w:val="2"/>
            <w:noWrap w:val="0"/>
            <w:vAlign w:val="center"/>
          </w:tcPr>
          <w:p w14:paraId="184E6FE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基本价格指数</w:t>
            </w:r>
          </w:p>
        </w:tc>
        <w:tc>
          <w:tcPr>
            <w:tcW w:w="3544" w:type="dxa"/>
            <w:gridSpan w:val="3"/>
            <w:noWrap w:val="0"/>
            <w:vAlign w:val="center"/>
          </w:tcPr>
          <w:p w14:paraId="001B166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权       重</w:t>
            </w:r>
          </w:p>
        </w:tc>
        <w:tc>
          <w:tcPr>
            <w:tcW w:w="1970" w:type="dxa"/>
            <w:vMerge w:val="restart"/>
            <w:noWrap w:val="0"/>
            <w:vAlign w:val="center"/>
          </w:tcPr>
          <w:p w14:paraId="3AFCA48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价格指数来源</w:t>
            </w:r>
          </w:p>
        </w:tc>
      </w:tr>
      <w:tr w14:paraId="01E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34A9D3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748" w:type="dxa"/>
            <w:noWrap w:val="0"/>
            <w:vAlign w:val="center"/>
          </w:tcPr>
          <w:p w14:paraId="5EEAC4BC">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900" w:type="dxa"/>
            <w:noWrap w:val="0"/>
            <w:vAlign w:val="center"/>
          </w:tcPr>
          <w:p w14:paraId="6527129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指数值</w:t>
            </w:r>
          </w:p>
        </w:tc>
        <w:tc>
          <w:tcPr>
            <w:tcW w:w="648" w:type="dxa"/>
            <w:noWrap w:val="0"/>
            <w:vAlign w:val="center"/>
          </w:tcPr>
          <w:p w14:paraId="3BEA6D3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1266" w:type="dxa"/>
            <w:noWrap w:val="0"/>
            <w:vAlign w:val="center"/>
          </w:tcPr>
          <w:p w14:paraId="6F05F48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允许范围</w:t>
            </w:r>
          </w:p>
        </w:tc>
        <w:tc>
          <w:tcPr>
            <w:tcW w:w="1630" w:type="dxa"/>
            <w:noWrap w:val="0"/>
            <w:vAlign w:val="center"/>
          </w:tcPr>
          <w:p w14:paraId="6D62B3B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投标人建议值</w:t>
            </w:r>
          </w:p>
        </w:tc>
        <w:tc>
          <w:tcPr>
            <w:tcW w:w="1970" w:type="dxa"/>
            <w:vMerge w:val="continue"/>
            <w:noWrap w:val="0"/>
            <w:vAlign w:val="center"/>
          </w:tcPr>
          <w:p w14:paraId="159A178E">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00F0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7913D660">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定值部分</w:t>
            </w:r>
          </w:p>
        </w:tc>
        <w:tc>
          <w:tcPr>
            <w:tcW w:w="748" w:type="dxa"/>
            <w:noWrap w:val="0"/>
            <w:vAlign w:val="center"/>
          </w:tcPr>
          <w:p w14:paraId="2842984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4F6546A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2AF7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1266" w:type="dxa"/>
            <w:noWrap w:val="0"/>
            <w:vAlign w:val="center"/>
          </w:tcPr>
          <w:p w14:paraId="0BAE03B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630" w:type="dxa"/>
            <w:noWrap w:val="0"/>
            <w:vAlign w:val="center"/>
          </w:tcPr>
          <w:p w14:paraId="68A08FB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970" w:type="dxa"/>
            <w:noWrap w:val="0"/>
            <w:vAlign w:val="center"/>
          </w:tcPr>
          <w:p w14:paraId="7B4A3C0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164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0D7F6AD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变值部分</w:t>
            </w:r>
          </w:p>
        </w:tc>
        <w:tc>
          <w:tcPr>
            <w:tcW w:w="872" w:type="dxa"/>
            <w:noWrap w:val="0"/>
            <w:vAlign w:val="center"/>
          </w:tcPr>
          <w:p w14:paraId="39AFFE8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人工费</w:t>
            </w:r>
          </w:p>
        </w:tc>
        <w:tc>
          <w:tcPr>
            <w:tcW w:w="748" w:type="dxa"/>
            <w:noWrap w:val="0"/>
            <w:vAlign w:val="center"/>
          </w:tcPr>
          <w:p w14:paraId="4279257B">
            <w:pPr>
              <w:pageBreakBefore w:val="0"/>
              <w:kinsoku/>
              <w:wordWrap w:val="0"/>
              <w:bidi w:val="0"/>
              <w:spacing w:before="480" w:beforeLines="200" w:after="480" w:afterLines="200" w:line="240" w:lineRule="atLeast"/>
              <w:rPr>
                <w:rFonts w:hint="default" w:ascii="Times New Roman" w:hAnsi="Times New Roman" w:cs="Times New Roman"/>
                <w:szCs w:val="21"/>
                <w:highlight w:val="none"/>
                <w:vertAlign w:val="subscript"/>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01</w:t>
            </w:r>
          </w:p>
        </w:tc>
        <w:tc>
          <w:tcPr>
            <w:tcW w:w="900" w:type="dxa"/>
            <w:noWrap w:val="0"/>
            <w:vAlign w:val="center"/>
          </w:tcPr>
          <w:p w14:paraId="011F33A4">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1CF5AB7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1</w:t>
            </w:r>
          </w:p>
        </w:tc>
        <w:tc>
          <w:tcPr>
            <w:tcW w:w="1266" w:type="dxa"/>
            <w:noWrap w:val="0"/>
            <w:vAlign w:val="top"/>
          </w:tcPr>
          <w:p w14:paraId="418FE86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0092E73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84647E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9E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3D8CB5B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0424C4D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钢材</w:t>
            </w:r>
          </w:p>
        </w:tc>
        <w:tc>
          <w:tcPr>
            <w:tcW w:w="748" w:type="dxa"/>
            <w:noWrap w:val="0"/>
            <w:vAlign w:val="center"/>
          </w:tcPr>
          <w:p w14:paraId="209E08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02</w:t>
            </w:r>
          </w:p>
        </w:tc>
        <w:tc>
          <w:tcPr>
            <w:tcW w:w="900" w:type="dxa"/>
            <w:noWrap w:val="0"/>
            <w:vAlign w:val="center"/>
          </w:tcPr>
          <w:p w14:paraId="50FA7D0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4B7EC28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2</w:t>
            </w:r>
          </w:p>
        </w:tc>
        <w:tc>
          <w:tcPr>
            <w:tcW w:w="1266" w:type="dxa"/>
            <w:noWrap w:val="0"/>
            <w:vAlign w:val="top"/>
          </w:tcPr>
          <w:p w14:paraId="24E23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71984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03A3219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4AC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26" w:type="dxa"/>
            <w:vMerge w:val="continue"/>
            <w:noWrap w:val="0"/>
            <w:vAlign w:val="center"/>
          </w:tcPr>
          <w:p w14:paraId="1C797FE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526D59C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748" w:type="dxa"/>
            <w:noWrap w:val="0"/>
            <w:vAlign w:val="center"/>
          </w:tcPr>
          <w:p w14:paraId="1ACC380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03</w:t>
            </w:r>
          </w:p>
        </w:tc>
        <w:tc>
          <w:tcPr>
            <w:tcW w:w="900" w:type="dxa"/>
            <w:noWrap w:val="0"/>
            <w:vAlign w:val="center"/>
          </w:tcPr>
          <w:p w14:paraId="4125882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09A2312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3</w:t>
            </w:r>
          </w:p>
        </w:tc>
        <w:tc>
          <w:tcPr>
            <w:tcW w:w="1266" w:type="dxa"/>
            <w:noWrap w:val="0"/>
            <w:vAlign w:val="top"/>
          </w:tcPr>
          <w:p w14:paraId="79CE763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14F8D4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AB85C0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27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 w:hRule="atLeast"/>
        </w:trPr>
        <w:tc>
          <w:tcPr>
            <w:tcW w:w="426" w:type="dxa"/>
            <w:vMerge w:val="continue"/>
            <w:noWrap w:val="0"/>
            <w:vAlign w:val="center"/>
          </w:tcPr>
          <w:p w14:paraId="6B0403C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4638B5F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8" w:type="dxa"/>
            <w:noWrap w:val="0"/>
            <w:vAlign w:val="center"/>
          </w:tcPr>
          <w:p w14:paraId="2ACB6B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900" w:type="dxa"/>
            <w:noWrap w:val="0"/>
            <w:vAlign w:val="center"/>
          </w:tcPr>
          <w:p w14:paraId="1E7B5DF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2A553F3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266" w:type="dxa"/>
            <w:noWrap w:val="0"/>
            <w:vAlign w:val="top"/>
          </w:tcPr>
          <w:p w14:paraId="624EF8B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630" w:type="dxa"/>
            <w:noWrap w:val="0"/>
            <w:vAlign w:val="top"/>
          </w:tcPr>
          <w:p w14:paraId="74E317CA">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5B6DB1A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14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9" w:hRule="atLeast"/>
        </w:trPr>
        <w:tc>
          <w:tcPr>
            <w:tcW w:w="426" w:type="dxa"/>
            <w:vMerge w:val="continue"/>
            <w:noWrap w:val="0"/>
            <w:vAlign w:val="center"/>
          </w:tcPr>
          <w:p w14:paraId="5F3F345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1BF234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748" w:type="dxa"/>
            <w:noWrap w:val="0"/>
            <w:vAlign w:val="center"/>
          </w:tcPr>
          <w:p w14:paraId="3A84A98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2B36C85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B0FEB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266" w:type="dxa"/>
            <w:noWrap w:val="0"/>
            <w:vAlign w:val="top"/>
          </w:tcPr>
          <w:p w14:paraId="398FA3F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630" w:type="dxa"/>
            <w:noWrap w:val="0"/>
            <w:vAlign w:val="top"/>
          </w:tcPr>
          <w:p w14:paraId="0245C2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7C51848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D1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860" w:type="dxa"/>
            <w:gridSpan w:val="6"/>
            <w:noWrap w:val="0"/>
            <w:vAlign w:val="center"/>
          </w:tcPr>
          <w:p w14:paraId="612C2D36">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        计</w:t>
            </w:r>
          </w:p>
        </w:tc>
        <w:tc>
          <w:tcPr>
            <w:tcW w:w="1630" w:type="dxa"/>
            <w:noWrap w:val="0"/>
            <w:vAlign w:val="center"/>
          </w:tcPr>
          <w:p w14:paraId="1B33694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1970" w:type="dxa"/>
            <w:noWrap w:val="0"/>
            <w:vAlign w:val="top"/>
          </w:tcPr>
          <w:p w14:paraId="2295D74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bl>
    <w:p w14:paraId="58241F69">
      <w:pPr>
        <w:pageBreakBefore w:val="0"/>
        <w:kinsoku/>
        <w:wordWrap w:val="0"/>
        <w:bidi w:val="0"/>
        <w:spacing w:line="440" w:lineRule="exact"/>
        <w:rPr>
          <w:rFonts w:hint="default" w:ascii="Times New Roman" w:hAnsi="Times New Roman" w:eastAsia="黑体" w:cs="Times New Roman"/>
          <w:sz w:val="24"/>
          <w:highlight w:val="none"/>
        </w:rPr>
      </w:pPr>
    </w:p>
    <w:p w14:paraId="3E830EA0">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43D57F21">
      <w:pPr>
        <w:rPr>
          <w:rFonts w:hint="default" w:ascii="Times New Roman" w:hAnsi="Times New Roman" w:cs="Times New Roman"/>
          <w:highlight w:val="none"/>
        </w:rPr>
      </w:pPr>
      <w:bookmarkStart w:id="1493" w:name="_Toc234833261"/>
    </w:p>
    <w:p w14:paraId="3DA1AF6C">
      <w:pPr>
        <w:rPr>
          <w:rFonts w:hint="default" w:ascii="Times New Roman" w:hAnsi="Times New Roman" w:cs="Times New Roman"/>
          <w:highlight w:val="none"/>
        </w:rPr>
      </w:pPr>
    </w:p>
    <w:p w14:paraId="0CB88433">
      <w:pPr>
        <w:rPr>
          <w:rFonts w:hint="default" w:ascii="Times New Roman" w:hAnsi="Times New Roman" w:cs="Times New Roman"/>
          <w:highlight w:val="none"/>
        </w:rPr>
      </w:pPr>
    </w:p>
    <w:p w14:paraId="08B505E6">
      <w:pPr>
        <w:rPr>
          <w:rFonts w:hint="default" w:ascii="Times New Roman" w:hAnsi="Times New Roman" w:cs="Times New Roman"/>
          <w:highlight w:val="none"/>
        </w:rPr>
      </w:pPr>
    </w:p>
    <w:p w14:paraId="6AA9F450">
      <w:pPr>
        <w:rPr>
          <w:rFonts w:hint="default" w:ascii="Times New Roman" w:hAnsi="Times New Roman" w:cs="Times New Roman"/>
          <w:highlight w:val="none"/>
        </w:rPr>
      </w:pPr>
    </w:p>
    <w:p w14:paraId="3260F82D">
      <w:pPr>
        <w:rPr>
          <w:rFonts w:hint="default" w:ascii="Times New Roman" w:hAnsi="Times New Roman" w:cs="Times New Roman"/>
          <w:highlight w:val="none"/>
        </w:rPr>
      </w:pPr>
    </w:p>
    <w:p w14:paraId="083283A1">
      <w:pPr>
        <w:rPr>
          <w:rFonts w:hint="default" w:ascii="Times New Roman" w:hAnsi="Times New Roman" w:cs="Times New Roman"/>
          <w:highlight w:val="none"/>
        </w:rPr>
      </w:pPr>
    </w:p>
    <w:p w14:paraId="02014F10">
      <w:pPr>
        <w:rPr>
          <w:rFonts w:hint="default" w:ascii="Times New Roman" w:hAnsi="Times New Roman" w:cs="Times New Roman"/>
          <w:highlight w:val="none"/>
        </w:rPr>
      </w:pPr>
    </w:p>
    <w:p w14:paraId="309A3DC4">
      <w:pPr>
        <w:rPr>
          <w:rFonts w:hint="default" w:ascii="Times New Roman" w:hAnsi="Times New Roman" w:cs="Times New Roman"/>
          <w:highlight w:val="none"/>
        </w:rPr>
      </w:pPr>
    </w:p>
    <w:p w14:paraId="15A11A44">
      <w:pPr>
        <w:rPr>
          <w:rFonts w:hint="default" w:ascii="Times New Roman" w:hAnsi="Times New Roman" w:cs="Times New Roman"/>
          <w:highlight w:val="none"/>
        </w:rPr>
      </w:pPr>
    </w:p>
    <w:p w14:paraId="29A57611">
      <w:pPr>
        <w:rPr>
          <w:rFonts w:hint="default" w:ascii="Times New Roman" w:hAnsi="Times New Roman" w:cs="Times New Roman"/>
          <w:highlight w:val="none"/>
        </w:rPr>
      </w:pPr>
    </w:p>
    <w:p w14:paraId="20B2F71B">
      <w:pPr>
        <w:jc w:val="center"/>
        <w:rPr>
          <w:rFonts w:hint="default" w:ascii="Times New Roman" w:hAnsi="Times New Roman" w:cs="Times New Roman"/>
          <w:highlight w:val="none"/>
        </w:rPr>
      </w:pPr>
    </w:p>
    <w:p w14:paraId="12C7449F">
      <w:pPr>
        <w:pStyle w:val="3"/>
        <w:numPr>
          <w:ilvl w:val="0"/>
          <w:numId w:val="0"/>
        </w:numPr>
        <w:spacing w:before="0" w:after="0" w:line="400" w:lineRule="atLeast"/>
        <w:ind w:left="180" w:firstLine="280" w:firstLineChars="100"/>
        <w:jc w:val="center"/>
        <w:rPr>
          <w:rFonts w:hint="default" w:ascii="Times New Roman" w:hAnsi="Times New Roman" w:cs="Times New Roman"/>
          <w:bCs w:val="0"/>
          <w:i w:val="0"/>
          <w:iCs w:val="0"/>
          <w:kern w:val="0"/>
          <w:sz w:val="28"/>
          <w:highlight w:val="none"/>
        </w:rPr>
      </w:pPr>
      <w:bookmarkStart w:id="1494" w:name="_Toc458576166"/>
      <w:bookmarkStart w:id="1495" w:name="_Toc112032692"/>
      <w:bookmarkStart w:id="1496" w:name="_Toc4031"/>
      <w:bookmarkStart w:id="1497" w:name="_Toc500352763"/>
      <w:bookmarkStart w:id="1498" w:name="_Toc137074942"/>
      <w:bookmarkStart w:id="1499" w:name="_Toc14724"/>
      <w:bookmarkStart w:id="1500" w:name="_Toc438571660"/>
      <w:bookmarkStart w:id="1501" w:name="_Toc26154"/>
      <w:bookmarkStart w:id="1502" w:name="_Toc10083"/>
      <w:r>
        <w:rPr>
          <w:rFonts w:hint="default" w:ascii="Times New Roman" w:hAnsi="Times New Roman" w:cs="Times New Roman"/>
          <w:bCs w:val="0"/>
          <w:i w:val="0"/>
          <w:iCs w:val="0"/>
          <w:kern w:val="0"/>
          <w:sz w:val="28"/>
          <w:highlight w:val="none"/>
        </w:rPr>
        <w:t>二、授权委托书或法定代表人身份证明</w:t>
      </w:r>
      <w:bookmarkEnd w:id="1494"/>
      <w:bookmarkEnd w:id="1495"/>
      <w:bookmarkEnd w:id="1496"/>
      <w:bookmarkEnd w:id="1497"/>
      <w:bookmarkEnd w:id="1498"/>
      <w:bookmarkEnd w:id="1499"/>
      <w:bookmarkEnd w:id="1500"/>
      <w:bookmarkEnd w:id="1501"/>
      <w:bookmarkEnd w:id="1502"/>
    </w:p>
    <w:p w14:paraId="7FA32478">
      <w:pPr>
        <w:rPr>
          <w:rFonts w:hint="default" w:ascii="Times New Roman" w:hAnsi="Times New Roman" w:eastAsia="黑体" w:cs="Times New Roman"/>
          <w:szCs w:val="21"/>
          <w:highlight w:val="none"/>
        </w:rPr>
      </w:pPr>
    </w:p>
    <w:p w14:paraId="00DC921B">
      <w:pPr>
        <w:rPr>
          <w:rFonts w:hint="default" w:ascii="Times New Roman" w:hAnsi="Times New Roman" w:eastAsia="黑体" w:cs="Times New Roman"/>
          <w:szCs w:val="21"/>
          <w:highlight w:val="none"/>
        </w:rPr>
      </w:pPr>
    </w:p>
    <w:p w14:paraId="35BA0DBF">
      <w:pPr>
        <w:spacing w:line="360" w:lineRule="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w:t>
      </w:r>
      <w:r>
        <w:rPr>
          <w:rFonts w:hint="default" w:ascii="Times New Roman" w:hAnsi="Times New Roman" w:cs="Times New Roman"/>
          <w:sz w:val="24"/>
          <w:highlight w:val="none"/>
        </w:rPr>
        <w:t>①</w:t>
      </w:r>
      <w:r>
        <w:rPr>
          <w:rFonts w:hint="default" w:ascii="Times New Roman" w:hAnsi="Times New Roman" w:eastAsia="黑体" w:cs="Times New Roman"/>
          <w:sz w:val="24"/>
          <w:highlight w:val="none"/>
        </w:rPr>
        <w:t>如果由投标人的委托代理人签署投标文件，则只须按要求提供《授权委托书》；</w:t>
      </w:r>
    </w:p>
    <w:p w14:paraId="5DD918BC">
      <w:pPr>
        <w:spacing w:line="360" w:lineRule="auto"/>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②</w:t>
      </w:r>
      <w:r>
        <w:rPr>
          <w:rFonts w:hint="default" w:ascii="Times New Roman" w:hAnsi="Times New Roman" w:eastAsia="黑体" w:cs="Times New Roman"/>
          <w:sz w:val="24"/>
          <w:highlight w:val="none"/>
        </w:rPr>
        <w:t>如果由投标人的法定代表人亲自签署投标文件，则只须按要求提供《法定代表人身份证明》。</w:t>
      </w:r>
    </w:p>
    <w:p w14:paraId="69D9CCAA">
      <w:pPr>
        <w:spacing w:line="360" w:lineRule="auto"/>
        <w:ind w:firstLine="480" w:firstLineChars="200"/>
        <w:rPr>
          <w:rFonts w:hint="default" w:ascii="Times New Roman" w:hAnsi="Times New Roman" w:eastAsia="黑体" w:cs="Times New Roman"/>
          <w:sz w:val="24"/>
          <w:highlight w:val="none"/>
        </w:rPr>
      </w:pPr>
    </w:p>
    <w:p w14:paraId="684B59BA">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bookmarkStart w:id="1503" w:name="_Toc495663699"/>
      <w:bookmarkStart w:id="1504" w:name="_Toc483640988"/>
      <w:bookmarkStart w:id="1505" w:name="_Toc500352764"/>
      <w:r>
        <w:rPr>
          <w:rFonts w:hint="default" w:ascii="Times New Roman" w:hAnsi="Times New Roman" w:eastAsia="黑体" w:cs="Times New Roman"/>
          <w:bCs/>
          <w:kern w:val="0"/>
          <w:sz w:val="24"/>
          <w:highlight w:val="none"/>
        </w:rPr>
        <w:t>（一）授权委托书</w:t>
      </w:r>
    </w:p>
    <w:p w14:paraId="4FE1F580">
      <w:pPr>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（投标人名称）的法定代表人，现委托</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（姓名）为我方代理人。代理人根据授权，以我方名义签署、澄清确认、递交、撤回、修改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（项目及标段名称）投标文件、签订合同和处理有关事宜，其法律后果由我方承担。</w:t>
      </w:r>
    </w:p>
    <w:p w14:paraId="5F7D55D5">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委托期限：自本委托书签署之日起至投标有效期期满。</w:t>
      </w:r>
    </w:p>
    <w:p w14:paraId="57E47841">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代理人无转委托权。</w:t>
      </w:r>
    </w:p>
    <w:p w14:paraId="3AF3AD04">
      <w:pPr>
        <w:wordWrap w:val="0"/>
        <w:topLinePunct/>
        <w:spacing w:line="440" w:lineRule="exact"/>
        <w:ind w:firstLine="480" w:firstLineChars="200"/>
        <w:rPr>
          <w:rFonts w:hint="default" w:ascii="Times New Roman" w:hAnsi="Times New Roman" w:cs="Times New Roman"/>
          <w:sz w:val="24"/>
          <w:highlight w:val="none"/>
        </w:rPr>
      </w:pPr>
    </w:p>
    <w:p w14:paraId="00801BE0">
      <w:pP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r>
        <w:rPr>
          <w:rFonts w:hint="default" w:ascii="Times New Roman" w:hAnsi="Times New Roman" w:eastAsia="黑体" w:cs="Times New Roman"/>
          <w:sz w:val="24"/>
          <w:highlight w:val="none"/>
        </w:rPr>
        <w:t xml:space="preserve">       委托代理人身份证</w:t>
      </w:r>
      <w:r>
        <w:rPr>
          <w:rFonts w:hint="eastAsia" w:eastAsia="黑体" w:cs="Times New Roman"/>
          <w:sz w:val="24"/>
          <w:highlight w:val="none"/>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3A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AEC69C5">
            <w:pPr>
              <w:topLinePunct/>
              <w:jc w:val="center"/>
              <w:rPr>
                <w:rFonts w:hint="default" w:ascii="Times New Roman" w:hAnsi="Times New Roman" w:cs="Times New Roman"/>
                <w:sz w:val="24"/>
                <w:highlight w:val="none"/>
              </w:rPr>
            </w:pPr>
          </w:p>
          <w:p w14:paraId="50503E3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3E80EA73">
            <w:pPr>
              <w:topLinePunct/>
              <w:jc w:val="center"/>
              <w:rPr>
                <w:rFonts w:hint="default" w:ascii="Times New Roman" w:hAnsi="Times New Roman" w:cs="Times New Roman"/>
                <w:sz w:val="24"/>
                <w:highlight w:val="none"/>
              </w:rPr>
            </w:pPr>
          </w:p>
        </w:tc>
        <w:tc>
          <w:tcPr>
            <w:tcW w:w="4644" w:type="dxa"/>
            <w:vAlign w:val="center"/>
          </w:tcPr>
          <w:p w14:paraId="28CEE14D">
            <w:pPr>
              <w:topLinePunct/>
              <w:jc w:val="center"/>
              <w:rPr>
                <w:rFonts w:hint="default" w:ascii="Times New Roman" w:hAnsi="Times New Roman" w:cs="Times New Roman"/>
                <w:sz w:val="24"/>
                <w:highlight w:val="none"/>
              </w:rPr>
            </w:pPr>
          </w:p>
          <w:p w14:paraId="651AE345">
            <w:pPr>
              <w:topLinePunct/>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5BCFBD68">
            <w:pPr>
              <w:topLinePunct/>
              <w:jc w:val="center"/>
              <w:rPr>
                <w:rFonts w:hint="default" w:ascii="Times New Roman" w:hAnsi="Times New Roman" w:cs="Times New Roman"/>
                <w:sz w:val="24"/>
                <w:highlight w:val="none"/>
              </w:rPr>
            </w:pPr>
          </w:p>
        </w:tc>
      </w:tr>
      <w:tr w14:paraId="145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F48CD6D">
            <w:pPr>
              <w:topLinePunct/>
              <w:jc w:val="center"/>
              <w:rPr>
                <w:rFonts w:hint="default" w:ascii="Times New Roman" w:hAnsi="Times New Roman" w:cs="Times New Roman"/>
                <w:sz w:val="24"/>
                <w:highlight w:val="none"/>
              </w:rPr>
            </w:pPr>
          </w:p>
          <w:p w14:paraId="3C987CB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4A81F89">
            <w:pPr>
              <w:topLinePunct/>
              <w:jc w:val="center"/>
              <w:rPr>
                <w:rFonts w:hint="default" w:ascii="Times New Roman" w:hAnsi="Times New Roman" w:cs="Times New Roman"/>
                <w:sz w:val="24"/>
                <w:highlight w:val="none"/>
              </w:rPr>
            </w:pPr>
          </w:p>
        </w:tc>
        <w:tc>
          <w:tcPr>
            <w:tcW w:w="4644" w:type="dxa"/>
            <w:vAlign w:val="center"/>
          </w:tcPr>
          <w:p w14:paraId="39E87515">
            <w:pPr>
              <w:topLinePunct/>
              <w:jc w:val="center"/>
              <w:rPr>
                <w:rFonts w:hint="default" w:ascii="Times New Roman" w:hAnsi="Times New Roman" w:cs="Times New Roman"/>
                <w:sz w:val="24"/>
                <w:highlight w:val="none"/>
              </w:rPr>
            </w:pPr>
          </w:p>
          <w:p w14:paraId="26DBE325">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3BF0F38">
            <w:pPr>
              <w:jc w:val="center"/>
              <w:rPr>
                <w:rFonts w:hint="default" w:ascii="Times New Roman" w:hAnsi="Times New Roman" w:cs="Times New Roman"/>
                <w:sz w:val="24"/>
                <w:highlight w:val="none"/>
              </w:rPr>
            </w:pPr>
          </w:p>
        </w:tc>
      </w:tr>
    </w:tbl>
    <w:p w14:paraId="40FC52E0">
      <w:pPr>
        <w:wordWrap w:val="0"/>
        <w:topLinePunct/>
        <w:spacing w:line="440" w:lineRule="exact"/>
        <w:rPr>
          <w:rFonts w:hint="default" w:ascii="Times New Roman" w:hAnsi="Times New Roman" w:cs="Times New Roman"/>
          <w:sz w:val="24"/>
          <w:highlight w:val="none"/>
        </w:rPr>
      </w:pPr>
    </w:p>
    <w:p w14:paraId="08D07704">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w:t>
      </w:r>
      <w:r>
        <w:rPr>
          <w:rFonts w:hint="default" w:ascii="Times New Roman" w:hAnsi="Times New Roman" w:cs="Times New Roman"/>
          <w:sz w:val="24"/>
          <w:highlight w:val="none"/>
          <w:lang w:val="en-US" w:eastAsia="zh-CN"/>
        </w:rPr>
        <w:t>盖单位电子印章</w:t>
      </w:r>
      <w:r>
        <w:rPr>
          <w:rFonts w:hint="default" w:ascii="Times New Roman" w:hAnsi="Times New Roman" w:cs="Times New Roman"/>
          <w:sz w:val="24"/>
          <w:highlight w:val="none"/>
        </w:rPr>
        <w:t>）</w:t>
      </w:r>
    </w:p>
    <w:p w14:paraId="12A096A3">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5194F9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u w:val="singl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6CC9C25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p>
    <w:p w14:paraId="42489B1B">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FD03371">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48FCFA57">
      <w:pPr>
        <w:wordWrap w:val="0"/>
        <w:topLinePunct/>
        <w:spacing w:line="400" w:lineRule="atLeast"/>
        <w:ind w:left="418" w:leftChars="199" w:firstLine="3720" w:firstLineChars="1550"/>
        <w:jc w:val="lef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w:t>
      </w:r>
    </w:p>
    <w:p w14:paraId="5174056D">
      <w:pPr>
        <w:wordWrap w:val="0"/>
        <w:topLinePunct/>
        <w:spacing w:line="400" w:lineRule="atLeast"/>
        <w:ind w:firstLine="420" w:firstLineChars="200"/>
        <w:rPr>
          <w:rFonts w:hint="default" w:ascii="Times New Roman" w:hAnsi="Times New Roman" w:eastAsia="黑体" w:cs="Times New Roman"/>
          <w:szCs w:val="21"/>
          <w:highlight w:val="none"/>
        </w:rPr>
      </w:pPr>
    </w:p>
    <w:p w14:paraId="3B5B1B6E">
      <w:pPr>
        <w:wordWrap w:val="0"/>
        <w:topLinePunct/>
        <w:spacing w:line="400" w:lineRule="atLeast"/>
        <w:ind w:firstLine="420" w:firstLineChars="200"/>
        <w:rPr>
          <w:rFonts w:hint="default" w:ascii="Times New Roman" w:hAnsi="Times New Roman" w:eastAsia="黑体" w:cs="Times New Roman"/>
          <w:szCs w:val="21"/>
          <w:highlight w:val="none"/>
        </w:rPr>
      </w:pPr>
      <w:r>
        <w:rPr>
          <w:rFonts w:hint="default" w:ascii="Times New Roman" w:hAnsi="Times New Roman" w:cs="Times New Roman"/>
          <w:kern w:val="2"/>
          <w:sz w:val="21"/>
          <w:szCs w:val="21"/>
          <w:highlight w:val="none"/>
        </w:rPr>
        <w:t>注：</w:t>
      </w:r>
      <w:r>
        <w:rPr>
          <w:rFonts w:hint="default" w:ascii="Times New Roman" w:hAnsi="Times New Roman" w:cs="Times New Roman"/>
          <w:szCs w:val="21"/>
          <w:highlight w:val="none"/>
        </w:rPr>
        <w:t>以联合体形式投标的，本授权委托书应由联合体牵头人的法定代表人按上述规定签署。</w:t>
      </w:r>
    </w:p>
    <w:p w14:paraId="7E272E0F">
      <w:pPr>
        <w:spacing w:line="360" w:lineRule="auto"/>
        <w:ind w:firstLine="3360"/>
        <w:jc w:val="right"/>
        <w:rPr>
          <w:rFonts w:hint="default" w:ascii="Times New Roman" w:hAnsi="Times New Roman" w:eastAsia="仿宋_GB2312" w:cs="Times New Roman"/>
          <w:sz w:val="32"/>
          <w:szCs w:val="32"/>
          <w:highlight w:val="none"/>
        </w:rPr>
      </w:pPr>
    </w:p>
    <w:p w14:paraId="14FFEA5F">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bCs/>
          <w:kern w:val="0"/>
          <w:sz w:val="24"/>
          <w:highlight w:val="none"/>
        </w:rPr>
        <w:t>（二）法定代表人身份证明</w:t>
      </w:r>
      <w:bookmarkEnd w:id="1503"/>
      <w:bookmarkEnd w:id="1504"/>
      <w:bookmarkEnd w:id="1505"/>
    </w:p>
    <w:p w14:paraId="3B036B93">
      <w:pPr>
        <w:rPr>
          <w:rFonts w:hint="default" w:ascii="Times New Roman" w:hAnsi="Times New Roman" w:cs="Times New Roman"/>
          <w:highlight w:val="none"/>
        </w:rPr>
      </w:pPr>
    </w:p>
    <w:p w14:paraId="6C1511F9">
      <w:pPr>
        <w:rPr>
          <w:rFonts w:hint="default" w:ascii="Times New Roman" w:hAnsi="Times New Roman" w:cs="Times New Roman"/>
          <w:highlight w:val="none"/>
        </w:rPr>
      </w:pPr>
    </w:p>
    <w:p w14:paraId="73213D0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投标人名称：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A41FAE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姓名：</w:t>
      </w:r>
      <w:r>
        <w:rPr>
          <w:rFonts w:hint="default" w:ascii="Times New Roman" w:hAnsi="Times New Roman" w:cs="Times New Roman"/>
          <w:sz w:val="24"/>
          <w:highlight w:val="none"/>
          <w:u w:val="single"/>
        </w:rPr>
        <w:t xml:space="preserve">  </w:t>
      </w:r>
      <w:r>
        <w:rPr>
          <w:rFonts w:hint="default" w:ascii="Times New Roman" w:hAnsi="Times New Roman" w:cs="Times New Roman"/>
          <w:bCs/>
          <w:sz w:val="24"/>
          <w:highlight w:val="none"/>
          <w:u w:val="single"/>
        </w:rPr>
        <w:t>（法定代表人个人电子签名章或个人电子印章）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性别：</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职务：</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（投标人名称）的法定代表人。</w:t>
      </w:r>
    </w:p>
    <w:p w14:paraId="39687655">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特此证明。</w:t>
      </w:r>
    </w:p>
    <w:p w14:paraId="035E0C5D">
      <w:pPr>
        <w:wordWrap w:val="0"/>
        <w:topLinePunct/>
        <w:spacing w:line="440" w:lineRule="exact"/>
        <w:rPr>
          <w:rFonts w:hint="default" w:ascii="Times New Roman" w:hAnsi="Times New Roman" w:cs="Times New Roman"/>
          <w:sz w:val="24"/>
          <w:highlight w:val="none"/>
        </w:rPr>
      </w:pPr>
    </w:p>
    <w:p w14:paraId="6C616D5C">
      <w:pPr>
        <w:topLinePunct/>
        <w:spacing w:line="440" w:lineRule="exact"/>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p>
    <w:p w14:paraId="413A819D">
      <w:pPr>
        <w:ind w:firstLine="420"/>
        <w:rPr>
          <w:rFonts w:hint="default" w:ascii="Times New Roman" w:hAnsi="Times New Roman" w:cs="Times New Roman"/>
          <w:highlight w:val="none"/>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122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7B4C6182">
            <w:pPr>
              <w:topLinePunct/>
              <w:spacing w:line="440" w:lineRule="exact"/>
              <w:jc w:val="center"/>
              <w:rPr>
                <w:rFonts w:hint="default" w:ascii="Times New Roman" w:hAnsi="Times New Roman" w:cs="Times New Roman"/>
                <w:sz w:val="24"/>
                <w:highlight w:val="none"/>
              </w:rPr>
            </w:pPr>
          </w:p>
          <w:p w14:paraId="168A802A">
            <w:pPr>
              <w:wordWrap w:val="0"/>
              <w:topLinePunct/>
              <w:spacing w:line="440" w:lineRule="exact"/>
              <w:jc w:val="center"/>
              <w:rPr>
                <w:rFonts w:hint="default" w:ascii="Times New Roman" w:hAnsi="Times New Roman" w:cs="Times New Roman"/>
                <w:sz w:val="24"/>
                <w:highlight w:val="none"/>
              </w:rPr>
            </w:pPr>
          </w:p>
          <w:p w14:paraId="12D0A3C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12D73B34">
            <w:pPr>
              <w:wordWrap w:val="0"/>
              <w:topLinePunct/>
              <w:spacing w:line="440" w:lineRule="exact"/>
              <w:jc w:val="center"/>
              <w:rPr>
                <w:rFonts w:hint="default" w:ascii="Times New Roman" w:hAnsi="Times New Roman" w:cs="Times New Roman"/>
                <w:sz w:val="24"/>
                <w:highlight w:val="none"/>
              </w:rPr>
            </w:pPr>
          </w:p>
          <w:p w14:paraId="72595C69">
            <w:pPr>
              <w:wordWrap w:val="0"/>
              <w:topLinePunct/>
              <w:spacing w:line="440" w:lineRule="exact"/>
              <w:jc w:val="center"/>
              <w:rPr>
                <w:rFonts w:hint="default" w:ascii="Times New Roman" w:hAnsi="Times New Roman" w:cs="Times New Roman"/>
                <w:sz w:val="24"/>
                <w:highlight w:val="none"/>
              </w:rPr>
            </w:pPr>
          </w:p>
        </w:tc>
        <w:tc>
          <w:tcPr>
            <w:tcW w:w="4644" w:type="dxa"/>
            <w:vAlign w:val="center"/>
          </w:tcPr>
          <w:p w14:paraId="1CAAB896">
            <w:pPr>
              <w:wordWrap w:val="0"/>
              <w:topLinePunct/>
              <w:spacing w:line="440" w:lineRule="exact"/>
              <w:jc w:val="center"/>
              <w:rPr>
                <w:rFonts w:hint="default" w:ascii="Times New Roman" w:hAnsi="Times New Roman" w:cs="Times New Roman"/>
                <w:sz w:val="24"/>
                <w:highlight w:val="none"/>
              </w:rPr>
            </w:pPr>
          </w:p>
          <w:p w14:paraId="2105AB84">
            <w:pPr>
              <w:wordWrap w:val="0"/>
              <w:topLinePunct/>
              <w:spacing w:line="440" w:lineRule="exact"/>
              <w:jc w:val="center"/>
              <w:rPr>
                <w:rFonts w:hint="default" w:ascii="Times New Roman" w:hAnsi="Times New Roman" w:cs="Times New Roman"/>
                <w:sz w:val="24"/>
                <w:highlight w:val="none"/>
              </w:rPr>
            </w:pPr>
          </w:p>
          <w:p w14:paraId="182D029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13200BE8">
            <w:pPr>
              <w:wordWrap w:val="0"/>
              <w:topLinePunct/>
              <w:spacing w:line="440" w:lineRule="exact"/>
              <w:jc w:val="center"/>
              <w:rPr>
                <w:rFonts w:hint="default" w:ascii="Times New Roman" w:hAnsi="Times New Roman" w:cs="Times New Roman"/>
                <w:sz w:val="24"/>
                <w:highlight w:val="none"/>
              </w:rPr>
            </w:pPr>
          </w:p>
          <w:p w14:paraId="20039C5D">
            <w:pPr>
              <w:wordWrap w:val="0"/>
              <w:topLinePunct/>
              <w:spacing w:line="440" w:lineRule="exact"/>
              <w:jc w:val="center"/>
              <w:rPr>
                <w:rFonts w:hint="default" w:ascii="Times New Roman" w:hAnsi="Times New Roman" w:cs="Times New Roman"/>
                <w:sz w:val="24"/>
                <w:highlight w:val="none"/>
              </w:rPr>
            </w:pPr>
          </w:p>
        </w:tc>
      </w:tr>
    </w:tbl>
    <w:p w14:paraId="0029BD1A">
      <w:pPr>
        <w:wordWrap w:val="0"/>
        <w:topLinePunct/>
        <w:spacing w:line="440" w:lineRule="exact"/>
        <w:rPr>
          <w:rFonts w:hint="default" w:ascii="Times New Roman" w:hAnsi="Times New Roman" w:cs="Times New Roman"/>
          <w:sz w:val="24"/>
          <w:highlight w:val="none"/>
        </w:rPr>
      </w:pPr>
    </w:p>
    <w:p w14:paraId="3CE69C2F">
      <w:pPr>
        <w:wordWrap w:val="0"/>
        <w:topLinePunct/>
        <w:spacing w:line="440" w:lineRule="exact"/>
        <w:rPr>
          <w:rFonts w:hint="default" w:ascii="Times New Roman" w:hAnsi="Times New Roman" w:cs="Times New Roman"/>
          <w:sz w:val="24"/>
          <w:highlight w:val="none"/>
        </w:rPr>
      </w:pPr>
    </w:p>
    <w:p w14:paraId="0D25E416">
      <w:pPr>
        <w:wordWrap w:val="0"/>
        <w:topLinePunct/>
        <w:spacing w:line="440" w:lineRule="exact"/>
        <w:rPr>
          <w:rFonts w:hint="default" w:ascii="Times New Roman" w:hAnsi="Times New Roman" w:cs="Times New Roman"/>
          <w:sz w:val="24"/>
          <w:highlight w:val="none"/>
        </w:rPr>
      </w:pPr>
    </w:p>
    <w:p w14:paraId="3C09113F">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79B5D7DE">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9D2F32E">
      <w:pPr>
        <w:wordWrap w:val="0"/>
        <w:topLinePunct/>
        <w:spacing w:line="440" w:lineRule="exact"/>
        <w:rPr>
          <w:rFonts w:hint="default" w:ascii="Times New Roman" w:hAnsi="Times New Roman" w:eastAsia="黑体" w:cs="Times New Roman"/>
          <w:sz w:val="24"/>
          <w:highlight w:val="none"/>
        </w:rPr>
      </w:pPr>
    </w:p>
    <w:p w14:paraId="686480A5">
      <w:pPr>
        <w:wordWrap w:val="0"/>
        <w:topLinePunct/>
        <w:spacing w:line="440" w:lineRule="exact"/>
        <w:rPr>
          <w:rFonts w:hint="default" w:ascii="Times New Roman" w:hAnsi="Times New Roman" w:eastAsia="黑体" w:cs="Times New Roman"/>
          <w:sz w:val="24"/>
          <w:highlight w:val="none"/>
        </w:rPr>
      </w:pPr>
    </w:p>
    <w:p w14:paraId="19B78F58">
      <w:pPr>
        <w:pStyle w:val="2"/>
        <w:pageBreakBefore w:val="0"/>
        <w:kinsoku/>
        <w:wordWrap w:val="0"/>
        <w:overflowPunct/>
        <w:bidi w:val="0"/>
        <w:spacing w:beforeLines="150" w:afterLines="100" w:line="380" w:lineRule="atLeast"/>
        <w:jc w:val="center"/>
        <w:rPr>
          <w:rFonts w:hint="default" w:ascii="Times New Roman" w:hAnsi="Times New Roman" w:eastAsia="黑体" w:cs="Times New Roman"/>
          <w:sz w:val="28"/>
          <w:szCs w:val="28"/>
          <w:highlight w:val="none"/>
        </w:rPr>
        <w:sectPr>
          <w:headerReference r:id="rId53" w:type="even"/>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21A7DFE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8"/>
          <w:szCs w:val="28"/>
          <w:highlight w:val="none"/>
        </w:rPr>
      </w:pPr>
      <w:bookmarkStart w:id="1506" w:name="_Toc19440"/>
      <w:bookmarkStart w:id="1507" w:name="_Toc29148"/>
      <w:r>
        <w:rPr>
          <w:rFonts w:hint="default" w:ascii="Times New Roman" w:hAnsi="Times New Roman" w:eastAsia="黑体" w:cs="Times New Roman"/>
          <w:sz w:val="28"/>
          <w:szCs w:val="28"/>
          <w:highlight w:val="none"/>
        </w:rPr>
        <w:t>三、</w:t>
      </w:r>
      <w:r>
        <w:rPr>
          <w:rFonts w:hint="default" w:ascii="Times New Roman" w:hAnsi="Times New Roman" w:eastAsia="黑体" w:cs="Times New Roman"/>
          <w:b w:val="0"/>
          <w:sz w:val="28"/>
          <w:szCs w:val="28"/>
          <w:highlight w:val="none"/>
        </w:rPr>
        <w:t>联合体协议书</w:t>
      </w:r>
      <w:r>
        <w:rPr>
          <w:rStyle w:val="48"/>
          <w:rFonts w:hint="default" w:ascii="Times New Roman" w:hAnsi="Times New Roman" w:eastAsia="黑体" w:cs="Times New Roman"/>
          <w:sz w:val="28"/>
          <w:szCs w:val="28"/>
          <w:highlight w:val="none"/>
        </w:rPr>
        <w:footnoteReference w:id="36"/>
      </w:r>
      <w:bookmarkEnd w:id="1493"/>
      <w:bookmarkEnd w:id="1506"/>
      <w:bookmarkEnd w:id="1507"/>
    </w:p>
    <w:p w14:paraId="685CD80E">
      <w:pPr>
        <w:pageBreakBefore w:val="0"/>
        <w:kinsoku/>
        <w:wordWrap w:val="0"/>
        <w:bidi w:val="0"/>
        <w:spacing w:line="440" w:lineRule="exact"/>
        <w:jc w:val="center"/>
        <w:rPr>
          <w:rFonts w:hint="default" w:ascii="Times New Roman" w:hAnsi="Times New Roman" w:eastAsia="黑体" w:cs="Times New Roman"/>
          <w:sz w:val="24"/>
          <w:highlight w:val="none"/>
        </w:rPr>
      </w:pPr>
    </w:p>
    <w:p w14:paraId="6ED65FB1">
      <w:pPr>
        <w:pageBreakBefore w:val="0"/>
        <w:kinsoku/>
        <w:wordWrap w:val="0"/>
        <w:bidi w:val="0"/>
        <w:spacing w:line="400" w:lineRule="atLeast"/>
        <w:ind w:firstLine="360"/>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eastAsia="黑体" w:cs="Times New Roman"/>
          <w:sz w:val="24"/>
          <w:highlight w:val="none"/>
        </w:rPr>
        <w:t>（</w:t>
      </w:r>
      <w:r>
        <w:rPr>
          <w:rFonts w:hint="default" w:ascii="Times New Roman" w:hAnsi="Times New Roman" w:cs="Times New Roman"/>
          <w:sz w:val="24"/>
          <w:highlight w:val="none"/>
        </w:rPr>
        <w:t>所有成员单位名称）自愿组成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（联合体名称）联合体，共同参加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标段</w:t>
      </w:r>
      <w:r>
        <w:rPr>
          <w:rFonts w:hint="default" w:ascii="Times New Roman" w:hAnsi="Times New Roman" w:cs="Times New Roman"/>
          <w:sz w:val="24"/>
          <w:highlight w:val="none"/>
        </w:rPr>
        <w:t>名称）施工投标。现就联合体投标事宜订立如下协议。</w:t>
      </w:r>
    </w:p>
    <w:p w14:paraId="72B6299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（某成员单位名称）为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（联合体名称）牵头人。</w:t>
      </w:r>
    </w:p>
    <w:p w14:paraId="055B565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2.联合体各成员授权牵头人代表联合体参加投标活动，签署文件，提交和接收相</w:t>
      </w:r>
      <w:bookmarkStart w:id="1508" w:name="_Toc152045790"/>
      <w:bookmarkStart w:id="1509" w:name="_Toc361508755"/>
      <w:bookmarkStart w:id="1510" w:name="_Toc384308378"/>
      <w:bookmarkStart w:id="1511" w:name="_Toc247527830"/>
      <w:bookmarkStart w:id="1512" w:name="_Toc247514249"/>
      <w:bookmarkStart w:id="1513" w:name="_Toc300835212"/>
      <w:bookmarkStart w:id="1514" w:name="_Toc144974859"/>
      <w:bookmarkStart w:id="1515" w:name="_Toc152042579"/>
      <w:r>
        <w:rPr>
          <w:rFonts w:hint="default" w:ascii="Times New Roman" w:hAnsi="Times New Roman" w:cs="Times New Roman"/>
          <w:sz w:val="24"/>
          <w:highlight w:val="none"/>
        </w:rPr>
        <w:t>关的</w:t>
      </w:r>
      <w:bookmarkStart w:id="1516" w:name="_Toc369531700"/>
      <w:bookmarkStart w:id="1517" w:name="_Toc352691664"/>
      <w:bookmarkStart w:id="1518" w:name="_Toc7749"/>
      <w:r>
        <w:rPr>
          <w:rFonts w:hint="default" w:ascii="Times New Roman" w:hAnsi="Times New Roman" w:cs="Times New Roman"/>
          <w:sz w:val="24"/>
          <w:highlight w:val="none"/>
        </w:rPr>
        <w:t>资料、信息及</w:t>
      </w:r>
      <w:bookmarkEnd w:id="1516"/>
      <w:bookmarkEnd w:id="1517"/>
      <w:bookmarkEnd w:id="1518"/>
      <w:r>
        <w:rPr>
          <w:rFonts w:hint="default" w:ascii="Times New Roman" w:hAnsi="Times New Roman" w:cs="Times New Roman"/>
          <w:sz w:val="24"/>
          <w:highlight w:val="none"/>
        </w:rPr>
        <w:t>指</w:t>
      </w:r>
      <w:bookmarkEnd w:id="1508"/>
      <w:bookmarkEnd w:id="1509"/>
      <w:bookmarkEnd w:id="1510"/>
      <w:bookmarkEnd w:id="1511"/>
      <w:bookmarkEnd w:id="1512"/>
      <w:bookmarkEnd w:id="1513"/>
      <w:bookmarkEnd w:id="1514"/>
      <w:bookmarkEnd w:id="1515"/>
      <w:r>
        <w:rPr>
          <w:rFonts w:hint="default" w:ascii="Times New Roman" w:hAnsi="Times New Roman" w:cs="Times New Roman"/>
          <w:sz w:val="24"/>
          <w:highlight w:val="none"/>
        </w:rPr>
        <w:t>示，进行合同谈判活动，负责合同实施阶段的组织和协调工作，以及处理与本招标项目有关的一切事宜。</w:t>
      </w:r>
    </w:p>
    <w:p w14:paraId="2D3F1F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4CA3F764">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4.联合体各成员单位内部的职责分工如下：</w:t>
      </w:r>
      <w:r>
        <w:rPr>
          <w:rFonts w:hint="default" w:ascii="Times New Roman" w:hAnsi="Times New Roman" w:cs="Times New Roman"/>
          <w:sz w:val="24"/>
          <w:highlight w:val="none"/>
          <w:u w:val="single"/>
        </w:rPr>
        <w:t>（牵头人名称）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（成员一名称）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7EC749F1">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5.投标工作和联合体在中标后工程实施过程中的有关费用按各自承担的工作量分摊。</w:t>
      </w:r>
    </w:p>
    <w:p w14:paraId="56CA12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6.本协议书自所有成员单位法定代表人签字并加盖单位章之日起生效，合同履行完毕后自动失效。</w:t>
      </w:r>
    </w:p>
    <w:p w14:paraId="6ADCB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7.本协议书一式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份，联合体成员和招标人各执一份。</w:t>
      </w:r>
    </w:p>
    <w:p w14:paraId="04DA8E91">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75E7302">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联合体牵头人名称：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441640AC">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A80A25C">
      <w:pPr>
        <w:topLinePunct/>
        <w:spacing w:line="400" w:lineRule="atLeast"/>
        <w:ind w:firstLine="411" w:firstLineChars="196"/>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8F8178E">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联合体成员名称：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76F36B90">
      <w:pPr>
        <w:pageBreakBefore w:val="0"/>
        <w:kinsoku/>
        <w:wordWrap w:val="0"/>
        <w:overflow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D180A2C">
      <w:pPr>
        <w:pageBreakBefore w:val="0"/>
        <w:kinsoku/>
        <w:wordWrap w:val="0"/>
        <w:overflowPunct/>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w:t>
      </w:r>
    </w:p>
    <w:p w14:paraId="671F7C6A">
      <w:pPr>
        <w:pageBreakBefore w:val="0"/>
        <w:kinsoku/>
        <w:wordWrap w:val="0"/>
        <w:bidi w:val="0"/>
        <w:spacing w:line="400" w:lineRule="atLeast"/>
        <w:ind w:firstLine="4620" w:firstLineChars="1925"/>
        <w:rPr>
          <w:rFonts w:hint="default" w:ascii="Times New Roman" w:hAnsi="Times New Roman" w:eastAsia="黑体" w:cs="Times New Roman"/>
          <w:sz w:val="24"/>
          <w:highlight w:val="none"/>
          <w:u w:val="singl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67A62E8">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519" w:name="_Toc234833262"/>
      <w:r>
        <w:rPr>
          <w:rFonts w:hint="default" w:ascii="Times New Roman" w:hAnsi="Times New Roman" w:eastAsia="黑体" w:cs="Times New Roman"/>
          <w:b w:val="0"/>
          <w:sz w:val="28"/>
          <w:szCs w:val="28"/>
          <w:highlight w:val="none"/>
        </w:rPr>
        <w:br w:type="page"/>
      </w:r>
      <w:bookmarkStart w:id="1520" w:name="_Toc24413"/>
      <w:bookmarkStart w:id="1521" w:name="_Toc25301"/>
      <w:r>
        <w:rPr>
          <w:rFonts w:hint="default" w:ascii="Times New Roman" w:hAnsi="Times New Roman" w:eastAsia="黑体" w:cs="Times New Roman"/>
          <w:b w:val="0"/>
          <w:sz w:val="28"/>
          <w:szCs w:val="28"/>
          <w:highlight w:val="none"/>
        </w:rPr>
        <w:t>四、投标保证金</w:t>
      </w:r>
      <w:bookmarkEnd w:id="1519"/>
      <w:bookmarkEnd w:id="1520"/>
      <w:bookmarkEnd w:id="1521"/>
    </w:p>
    <w:p w14:paraId="2F5CAA05">
      <w:pPr>
        <w:pageBreakBefore w:val="0"/>
        <w:kinsoku/>
        <w:wordWrap w:val="0"/>
        <w:bidi w:val="0"/>
        <w:spacing w:line="440" w:lineRule="exact"/>
        <w:jc w:val="center"/>
        <w:rPr>
          <w:rFonts w:hint="default" w:ascii="Times New Roman" w:hAnsi="Times New Roman" w:eastAsia="黑体" w:cs="Times New Roman"/>
          <w:sz w:val="28"/>
          <w:szCs w:val="28"/>
          <w:highlight w:val="none"/>
        </w:rPr>
      </w:pPr>
    </w:p>
    <w:p w14:paraId="0A5C1109">
      <w:pPr>
        <w:spacing w:line="400" w:lineRule="atLeast"/>
        <w:ind w:firstLine="508" w:firstLineChars="212"/>
        <w:rPr>
          <w:rFonts w:hint="default" w:ascii="Times New Roman" w:hAnsi="Times New Roman" w:cs="Times New Roman"/>
          <w:sz w:val="24"/>
          <w:highlight w:val="none"/>
        </w:rPr>
      </w:pPr>
      <w:r>
        <w:rPr>
          <w:rFonts w:hint="default" w:ascii="Times New Roman" w:hAnsi="Times New Roman" w:cs="Times New Roman"/>
          <w:sz w:val="24"/>
          <w:highlight w:val="none"/>
        </w:rPr>
        <w:t>若采用现金，投标人应在此提供汇款凭证的</w:t>
      </w:r>
      <w:r>
        <w:rPr>
          <w:rFonts w:hint="eastAsia" w:cs="Times New Roman"/>
          <w:sz w:val="24"/>
          <w:highlight w:val="none"/>
          <w:lang w:val="en-US" w:eastAsia="zh-CN"/>
        </w:rPr>
        <w:t>原件扫描件</w:t>
      </w:r>
      <w:r>
        <w:rPr>
          <w:rFonts w:hint="default" w:ascii="Times New Roman" w:hAnsi="Times New Roman" w:cs="Times New Roman"/>
          <w:sz w:val="24"/>
          <w:highlight w:val="none"/>
        </w:rPr>
        <w:t>。</w:t>
      </w:r>
    </w:p>
    <w:p w14:paraId="3992E795">
      <w:pPr>
        <w:spacing w:line="400" w:lineRule="exact"/>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若采用电子保函，</w:t>
      </w:r>
      <w:r>
        <w:rPr>
          <w:rFonts w:hint="default" w:ascii="Times New Roman" w:hAnsi="Times New Roman" w:cs="Times New Roman"/>
          <w:sz w:val="24"/>
          <w:highlight w:val="none"/>
        </w:rPr>
        <w:t>投标人应在此提供</w:t>
      </w:r>
      <w:r>
        <w:rPr>
          <w:rFonts w:hint="default" w:ascii="Times New Roman" w:hAnsi="Times New Roman" w:cs="Times New Roman"/>
          <w:b w:val="0"/>
          <w:bCs w:val="0"/>
          <w:sz w:val="24"/>
          <w:szCs w:val="24"/>
          <w:highlight w:val="none"/>
          <w:lang w:val="en-US" w:eastAsia="zh-CN"/>
        </w:rPr>
        <w:t>电子化保函验真渠道和保函财务费用支付信息。</w:t>
      </w:r>
    </w:p>
    <w:p w14:paraId="2E1D0342">
      <w:pPr>
        <w:spacing w:line="400" w:lineRule="exac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lang w:val="en-US" w:eastAsia="zh-CN"/>
        </w:rPr>
        <w:t>若</w:t>
      </w:r>
      <w:r>
        <w:rPr>
          <w:rFonts w:hint="default" w:ascii="Times New Roman" w:hAnsi="Times New Roman" w:cs="Times New Roman"/>
          <w:sz w:val="24"/>
          <w:highlight w:val="none"/>
        </w:rPr>
        <w:t>采用银行保函，投标人应在此提供银行保函</w:t>
      </w:r>
      <w:r>
        <w:rPr>
          <w:rFonts w:hint="eastAsia" w:cs="Times New Roman"/>
          <w:sz w:val="24"/>
          <w:highlight w:val="none"/>
          <w:lang w:val="en-US" w:eastAsia="zh-CN"/>
        </w:rPr>
        <w:t>原件扫描件</w:t>
      </w:r>
      <w:r>
        <w:rPr>
          <w:rFonts w:hint="default" w:ascii="Times New Roman" w:hAnsi="Times New Roman" w:cs="Times New Roman"/>
          <w:sz w:val="24"/>
          <w:highlight w:val="none"/>
        </w:rPr>
        <w:t>，格式如下。</w:t>
      </w:r>
    </w:p>
    <w:p w14:paraId="15F8E798">
      <w:pPr>
        <w:spacing w:line="400" w:lineRule="exact"/>
        <w:ind w:firstLine="480" w:firstLineChars="200"/>
        <w:rPr>
          <w:rFonts w:hint="default" w:ascii="Times New Roman" w:hAnsi="Times New Roman" w:cs="Times New Roman"/>
          <w:sz w:val="24"/>
          <w:highlight w:val="none"/>
        </w:rPr>
      </w:pPr>
    </w:p>
    <w:p w14:paraId="57E9EEAE">
      <w:pPr>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投标保函</w:t>
      </w:r>
    </w:p>
    <w:p w14:paraId="18D0FB3E">
      <w:pPr>
        <w:spacing w:line="400" w:lineRule="exact"/>
        <w:rPr>
          <w:rFonts w:hint="default" w:ascii="Times New Roman" w:hAnsi="Times New Roman" w:cs="Times New Roman"/>
          <w:sz w:val="24"/>
          <w:highlight w:val="none"/>
          <w:u w:val="single"/>
        </w:rPr>
      </w:pPr>
    </w:p>
    <w:p w14:paraId="7999CD27">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你方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35463919">
      <w:pPr>
        <w:spacing w:line="400" w:lineRule="exact"/>
        <w:jc w:val="center"/>
        <w:rPr>
          <w:rFonts w:hint="default" w:ascii="Times New Roman" w:hAnsi="Times New Roman" w:cs="Times New Roman"/>
          <w:sz w:val="24"/>
          <w:highlight w:val="none"/>
        </w:rPr>
      </w:pPr>
    </w:p>
    <w:p w14:paraId="0756512B">
      <w:pPr>
        <w:wordWrap w:val="0"/>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（投标人名称）（以下称</w:t>
      </w:r>
      <w:r>
        <w:rPr>
          <w:rFonts w:hint="eastAsia" w:ascii="宋体" w:hAnsi="宋体" w:eastAsia="宋体" w:cs="宋体"/>
          <w:sz w:val="24"/>
          <w:highlight w:val="none"/>
        </w:rPr>
        <w:t>“</w:t>
      </w:r>
      <w:r>
        <w:rPr>
          <w:rFonts w:hint="default" w:ascii="Times New Roman" w:hAnsi="Times New Roman" w:cs="Times New Roman"/>
          <w:sz w:val="24"/>
          <w:highlight w:val="none"/>
        </w:rPr>
        <w:t>投标人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（项目名称）的投标，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（担保人名称，以下简称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我方</w:t>
      </w:r>
      <w:r>
        <w:rPr>
          <w:rFonts w:hint="eastAsia" w:ascii="宋体" w:hAnsi="宋体" w:eastAsia="宋体" w:cs="宋体"/>
          <w:sz w:val="24"/>
          <w:highlight w:val="none"/>
        </w:rPr>
        <w:t>”</w:t>
      </w:r>
      <w:r>
        <w:rPr>
          <w:rFonts w:hint="default" w:ascii="Times New Roman" w:hAnsi="Times New Roman" w:cs="Times New Roman"/>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p>
    <w:p w14:paraId="5EF0352D">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本保函在投标有效期或经延长的投标有效期内保持有效。要求我方承担保证责任的通知应在上述期限内送达我方。你方延长投标有效期的决定，应通知我方。</w:t>
      </w:r>
    </w:p>
    <w:p w14:paraId="21D91062">
      <w:pPr>
        <w:rPr>
          <w:rFonts w:hint="default" w:ascii="Times New Roman" w:hAnsi="Times New Roman" w:cs="Times New Roman"/>
          <w:sz w:val="24"/>
          <w:highlight w:val="none"/>
        </w:rPr>
      </w:pPr>
    </w:p>
    <w:p w14:paraId="2E9B665E">
      <w:pPr>
        <w:rPr>
          <w:rFonts w:hint="default" w:ascii="Times New Roman" w:hAnsi="Times New Roman" w:cs="Times New Roman"/>
          <w:sz w:val="24"/>
          <w:highlight w:val="none"/>
        </w:rPr>
      </w:pPr>
    </w:p>
    <w:p w14:paraId="7E92E598">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25E0942">
      <w:pPr>
        <w:autoSpaceDE w:val="0"/>
        <w:autoSpaceDN w:val="0"/>
        <w:adjustRightInd w:val="0"/>
        <w:spacing w:line="400" w:lineRule="atLeast"/>
        <w:ind w:firstLine="2400" w:firstLineChars="1000"/>
        <w:jc w:val="left"/>
        <w:rPr>
          <w:rFonts w:hint="default" w:ascii="Times New Roman" w:hAnsi="Times New Roman" w:cs="Times New Roman"/>
          <w:sz w:val="24"/>
          <w:highlight w:val="none"/>
        </w:rPr>
      </w:pPr>
      <w:r>
        <w:rPr>
          <w:rFonts w:hint="default" w:ascii="Times New Roman" w:hAnsi="Times New Roman" w:cs="Times New Roman"/>
          <w:sz w:val="24"/>
          <w:highlight w:val="none"/>
        </w:rPr>
        <w:t>担保人法定代表人或其委托代理人（签字）：</w:t>
      </w:r>
      <w:r>
        <w:rPr>
          <w:rFonts w:hint="default" w:ascii="Times New Roman" w:hAnsi="Times New Roman" w:cs="Times New Roman"/>
          <w:sz w:val="24"/>
          <w:highlight w:val="none"/>
          <w:u w:val="single"/>
        </w:rPr>
        <w:t xml:space="preserve">                 </w:t>
      </w:r>
    </w:p>
    <w:p w14:paraId="1FE08D8E">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担保人地址：</w:t>
      </w:r>
      <w:r>
        <w:rPr>
          <w:rFonts w:hint="default" w:ascii="Times New Roman" w:hAnsi="Times New Roman" w:cs="Times New Roman"/>
          <w:sz w:val="24"/>
          <w:highlight w:val="none"/>
          <w:u w:val="single"/>
        </w:rPr>
        <w:t xml:space="preserve">                                        </w:t>
      </w:r>
    </w:p>
    <w:p w14:paraId="3ED9619C">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担保人电话：</w:t>
      </w:r>
      <w:r>
        <w:rPr>
          <w:rFonts w:hint="default" w:ascii="Times New Roman" w:hAnsi="Times New Roman" w:cs="Times New Roman"/>
          <w:sz w:val="24"/>
          <w:highlight w:val="none"/>
          <w:u w:val="single"/>
        </w:rPr>
        <w:t xml:space="preserve">                  </w:t>
      </w:r>
    </w:p>
    <w:p w14:paraId="59F4E4AA">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担保人传真：</w:t>
      </w:r>
      <w:r>
        <w:rPr>
          <w:rFonts w:hint="default" w:ascii="Times New Roman" w:hAnsi="Times New Roman" w:cs="Times New Roman"/>
          <w:sz w:val="24"/>
          <w:highlight w:val="none"/>
          <w:u w:val="single"/>
        </w:rPr>
        <w:t xml:space="preserve">                  </w:t>
      </w:r>
    </w:p>
    <w:p w14:paraId="0041EA62">
      <w:pPr>
        <w:pageBreakBefore w:val="0"/>
        <w:kinsoku/>
        <w:wordWrap w:val="0"/>
        <w:overflowPunct/>
        <w:bidi w:val="0"/>
        <w:spacing w:line="440" w:lineRule="exact"/>
        <w:ind w:firstLine="5040" w:firstLineChars="21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D029838">
      <w:pPr>
        <w:pageBreakBefore w:val="0"/>
        <w:kinsoku/>
        <w:wordWrap w:val="0"/>
        <w:bidi w:val="0"/>
        <w:spacing w:line="440" w:lineRule="exact"/>
        <w:rPr>
          <w:rFonts w:hint="default" w:ascii="Times New Roman" w:hAnsi="Times New Roman" w:cs="Times New Roman"/>
          <w:sz w:val="24"/>
          <w:highlight w:val="none"/>
        </w:rPr>
      </w:pPr>
    </w:p>
    <w:p w14:paraId="64AAF03A">
      <w:pPr>
        <w:pageBreakBefore w:val="0"/>
        <w:kinsoku/>
        <w:wordWrap w:val="0"/>
        <w:bidi w:val="0"/>
        <w:spacing w:line="440" w:lineRule="exact"/>
        <w:rPr>
          <w:rFonts w:hint="default" w:ascii="Times New Roman" w:hAnsi="Times New Roman" w:eastAsia="黑体" w:cs="Times New Roman"/>
          <w:sz w:val="24"/>
          <w:highlight w:val="none"/>
        </w:rPr>
      </w:pPr>
    </w:p>
    <w:p w14:paraId="6E863237">
      <w:pPr>
        <w:pageBreakBefore w:val="0"/>
        <w:kinsoku/>
        <w:wordWrap w:val="0"/>
        <w:bidi w:val="0"/>
        <w:spacing w:line="440" w:lineRule="exact"/>
        <w:rPr>
          <w:rFonts w:hint="default" w:ascii="Times New Roman" w:hAnsi="Times New Roman" w:eastAsia="黑体" w:cs="Times New Roman"/>
          <w:sz w:val="24"/>
          <w:highlight w:val="none"/>
        </w:rPr>
      </w:pPr>
    </w:p>
    <w:p w14:paraId="2C19025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lang w:eastAsia="zh-CN"/>
        </w:rPr>
      </w:pPr>
      <w:bookmarkStart w:id="1522" w:name="_Toc234833264"/>
      <w:r>
        <w:rPr>
          <w:rFonts w:hint="default" w:ascii="Times New Roman" w:hAnsi="Times New Roman" w:eastAsia="黑体" w:cs="Times New Roman"/>
          <w:b w:val="0"/>
          <w:sz w:val="28"/>
          <w:szCs w:val="28"/>
          <w:highlight w:val="none"/>
        </w:rPr>
        <w:br w:type="page"/>
      </w:r>
      <w:bookmarkStart w:id="1523" w:name="_Toc14539"/>
      <w:bookmarkStart w:id="1524" w:name="_Toc8331"/>
      <w:r>
        <w:rPr>
          <w:rFonts w:hint="default" w:ascii="Times New Roman" w:hAnsi="Times New Roman" w:eastAsia="黑体" w:cs="Times New Roman"/>
          <w:b w:val="0"/>
          <w:sz w:val="28"/>
          <w:szCs w:val="28"/>
          <w:highlight w:val="none"/>
        </w:rPr>
        <w:t>五、施工组织设计</w:t>
      </w:r>
      <w:r>
        <w:rPr>
          <w:rFonts w:hint="default" w:ascii="Times New Roman" w:hAnsi="Times New Roman" w:eastAsia="黑体" w:cs="Times New Roman"/>
          <w:sz w:val="28"/>
          <w:szCs w:val="28"/>
          <w:highlight w:val="none"/>
          <w:vertAlign w:val="superscript"/>
        </w:rPr>
        <w:footnoteReference w:id="37"/>
      </w:r>
      <w:bookmarkEnd w:id="1523"/>
      <w:bookmarkEnd w:id="1524"/>
    </w:p>
    <w:p w14:paraId="7698B395">
      <w:pPr>
        <w:pageBreakBefore w:val="0"/>
        <w:kinsoku/>
        <w:wordWrap w:val="0"/>
        <w:bidi w:val="0"/>
        <w:jc w:val="center"/>
        <w:rPr>
          <w:rFonts w:hint="default" w:ascii="Times New Roman" w:hAnsi="Times New Roman" w:cs="Times New Roman"/>
          <w:highlight w:val="none"/>
        </w:rPr>
      </w:pPr>
      <w:r>
        <w:rPr>
          <w:rFonts w:hint="default" w:ascii="Times New Roman" w:hAnsi="Times New Roman" w:cs="Times New Roman"/>
          <w:highlight w:val="none"/>
        </w:rPr>
        <w:t>（适用于合理低价法和经评审的最低投标价法）</w:t>
      </w:r>
    </w:p>
    <w:p w14:paraId="0E3003A7">
      <w:pPr>
        <w:pageBreakBefore w:val="0"/>
        <w:kinsoku/>
        <w:wordWrap w:val="0"/>
        <w:bidi w:val="0"/>
        <w:spacing w:line="440" w:lineRule="exact"/>
        <w:rPr>
          <w:rFonts w:hint="default" w:ascii="Times New Roman" w:hAnsi="Times New Roman" w:eastAsia="黑体" w:cs="Times New Roman"/>
          <w:sz w:val="20"/>
          <w:szCs w:val="20"/>
          <w:highlight w:val="none"/>
        </w:rPr>
      </w:pPr>
    </w:p>
    <w:p w14:paraId="0BFFA65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投标人应按以下要点编制施工组织设计（文字宜精炼、内容具有针对性）：</w:t>
      </w:r>
    </w:p>
    <w:p w14:paraId="7372AAD2">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1.总体施工组织布置及规划</w:t>
      </w:r>
    </w:p>
    <w:p w14:paraId="41B47B9F">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2.重点、关键和难点工程的施工方案</w:t>
      </w:r>
    </w:p>
    <w:p w14:paraId="01F0A5E1">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3.工期关键线路图及保证措施</w:t>
      </w:r>
    </w:p>
    <w:p w14:paraId="220AD4C6">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4.关键工程质量保证措施</w:t>
      </w:r>
    </w:p>
    <w:p w14:paraId="24C3C8D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5.安全保证措施</w:t>
      </w:r>
    </w:p>
    <w:p w14:paraId="650EFCF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6.环境保护、水土保持、文明施工、文物保护保证措施</w:t>
      </w:r>
    </w:p>
    <w:p w14:paraId="3DE56BC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7.项目风险预测与防范，事故应急预案</w:t>
      </w:r>
    </w:p>
    <w:p w14:paraId="3760E2CA">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8.其他应说明的事项</w:t>
      </w:r>
    </w:p>
    <w:p w14:paraId="423817EE">
      <w:pPr>
        <w:pageBreakBefore w:val="0"/>
        <w:kinsoku/>
        <w:wordWrap w:val="0"/>
        <w:bidi w:val="0"/>
        <w:spacing w:line="440" w:lineRule="exact"/>
        <w:ind w:firstLine="480" w:firstLineChars="200"/>
        <w:rPr>
          <w:rFonts w:hint="default" w:ascii="Times New Roman" w:hAnsi="Times New Roman" w:cs="Times New Roman"/>
          <w:sz w:val="24"/>
          <w:highlight w:val="none"/>
        </w:rPr>
      </w:pPr>
    </w:p>
    <w:p w14:paraId="6CED9C85">
      <w:pPr>
        <w:pageBreakBefore w:val="0"/>
        <w:kinsoku/>
        <w:wordWrap w:val="0"/>
        <w:bidi w:val="0"/>
        <w:spacing w:before="0" w:after="0" w:line="380" w:lineRule="atLeast"/>
        <w:outlineLvl w:val="9"/>
        <w:rPr>
          <w:rFonts w:hint="default" w:ascii="Times New Roman" w:hAnsi="Times New Roman" w:eastAsia="黑体" w:cs="Times New Roman"/>
          <w:sz w:val="27"/>
          <w:szCs w:val="27"/>
          <w:highlight w:val="none"/>
        </w:rPr>
      </w:pPr>
      <w:r>
        <w:rPr>
          <w:rFonts w:hint="default" w:ascii="Times New Roman" w:hAnsi="Times New Roman" w:eastAsia="黑体" w:cs="Times New Roman"/>
          <w:b w:val="0"/>
          <w:sz w:val="28"/>
          <w:szCs w:val="28"/>
          <w:highlight w:val="none"/>
        </w:rPr>
        <w:br w:type="page"/>
      </w:r>
      <w:bookmarkEnd w:id="1522"/>
    </w:p>
    <w:p w14:paraId="70E56820">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25" w:name="_Toc7173"/>
      <w:bookmarkStart w:id="1526" w:name="_Toc12368"/>
      <w:bookmarkStart w:id="1527" w:name="_Toc234833275"/>
      <w:r>
        <w:rPr>
          <w:rFonts w:hint="default" w:ascii="Times New Roman" w:hAnsi="Times New Roman" w:eastAsia="黑体" w:cs="Times New Roman"/>
          <w:b w:val="0"/>
          <w:sz w:val="28"/>
          <w:szCs w:val="28"/>
          <w:highlight w:val="none"/>
        </w:rPr>
        <w:t>六、项目管理机构</w:t>
      </w:r>
      <w:bookmarkEnd w:id="1525"/>
      <w:bookmarkEnd w:id="1526"/>
      <w:bookmarkEnd w:id="1527"/>
    </w:p>
    <w:p w14:paraId="47597723">
      <w:pPr>
        <w:pageBreakBefore w:val="0"/>
        <w:kinsoku/>
        <w:wordWrap w:val="0"/>
        <w:bidi w:val="0"/>
        <w:spacing w:before="0" w:after="0" w:line="380" w:lineRule="atLeast"/>
        <w:outlineLvl w:val="9"/>
        <w:rPr>
          <w:rFonts w:hint="default" w:ascii="Times New Roman" w:hAnsi="Times New Roman" w:eastAsia="黑体" w:cs="Times New Roman"/>
          <w:b w:val="0"/>
          <w:sz w:val="28"/>
          <w:szCs w:val="28"/>
          <w:highlight w:val="none"/>
        </w:rPr>
      </w:pPr>
    </w:p>
    <w:p w14:paraId="360E7CF5">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29C9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7F66066C">
            <w:pPr>
              <w:pageBreakBefore w:val="0"/>
              <w:kinsoku/>
              <w:wordWrap w:val="0"/>
              <w:bidi w:val="0"/>
              <w:spacing w:line="520" w:lineRule="atLeast"/>
              <w:ind w:left="266" w:hanging="266"/>
              <w:rPr>
                <w:rFonts w:hint="default" w:ascii="Times New Roman" w:hAnsi="Times New Roman" w:cs="Times New Roman"/>
                <w:szCs w:val="21"/>
                <w:highlight w:val="none"/>
              </w:rPr>
            </w:pPr>
          </w:p>
          <w:p w14:paraId="7EFF75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拟为承包本标段工程设立的组织机构以框图方式表示。</w:t>
            </w:r>
          </w:p>
          <w:p w14:paraId="74FE89F1">
            <w:pPr>
              <w:pageBreakBefore w:val="0"/>
              <w:kinsoku/>
              <w:wordWrap w:val="0"/>
              <w:bidi w:val="0"/>
              <w:spacing w:line="520" w:lineRule="atLeast"/>
              <w:rPr>
                <w:rFonts w:hint="default" w:ascii="Times New Roman" w:hAnsi="Times New Roman" w:cs="Times New Roman"/>
                <w:szCs w:val="21"/>
                <w:highlight w:val="none"/>
              </w:rPr>
            </w:pPr>
          </w:p>
          <w:p w14:paraId="08AFFBF8">
            <w:pPr>
              <w:pageBreakBefore w:val="0"/>
              <w:kinsoku/>
              <w:wordWrap w:val="0"/>
              <w:bidi w:val="0"/>
              <w:spacing w:line="520" w:lineRule="atLeast"/>
              <w:rPr>
                <w:rFonts w:hint="default" w:ascii="Times New Roman" w:hAnsi="Times New Roman" w:cs="Times New Roman"/>
                <w:szCs w:val="21"/>
                <w:highlight w:val="none"/>
              </w:rPr>
            </w:pPr>
          </w:p>
          <w:p w14:paraId="67FF7B79">
            <w:pPr>
              <w:pageBreakBefore w:val="0"/>
              <w:kinsoku/>
              <w:wordWrap w:val="0"/>
              <w:bidi w:val="0"/>
              <w:spacing w:line="520" w:lineRule="atLeast"/>
              <w:ind w:right="174" w:rightChars="83"/>
              <w:rPr>
                <w:rFonts w:hint="default" w:ascii="Times New Roman" w:hAnsi="Times New Roman" w:cs="Times New Roman"/>
                <w:szCs w:val="21"/>
                <w:highlight w:val="none"/>
              </w:rPr>
            </w:pPr>
          </w:p>
          <w:p w14:paraId="2775D314">
            <w:pPr>
              <w:pageBreakBefore w:val="0"/>
              <w:kinsoku/>
              <w:wordWrap w:val="0"/>
              <w:bidi w:val="0"/>
              <w:spacing w:line="520" w:lineRule="atLeast"/>
              <w:ind w:right="174" w:rightChars="83"/>
              <w:rPr>
                <w:rFonts w:hint="default" w:ascii="Times New Roman" w:hAnsi="Times New Roman" w:cs="Times New Roman"/>
                <w:szCs w:val="21"/>
                <w:highlight w:val="none"/>
              </w:rPr>
            </w:pPr>
          </w:p>
          <w:p w14:paraId="303E835A">
            <w:pPr>
              <w:pageBreakBefore w:val="0"/>
              <w:kinsoku/>
              <w:wordWrap w:val="0"/>
              <w:bidi w:val="0"/>
              <w:spacing w:line="520" w:lineRule="atLeast"/>
              <w:ind w:right="174" w:rightChars="83"/>
              <w:rPr>
                <w:rFonts w:hint="default" w:ascii="Times New Roman" w:hAnsi="Times New Roman" w:cs="Times New Roman"/>
                <w:szCs w:val="21"/>
                <w:highlight w:val="none"/>
              </w:rPr>
            </w:pPr>
          </w:p>
          <w:p w14:paraId="2FCDA5E4">
            <w:pPr>
              <w:pageBreakBefore w:val="0"/>
              <w:kinsoku/>
              <w:wordWrap w:val="0"/>
              <w:bidi w:val="0"/>
              <w:spacing w:line="520" w:lineRule="atLeast"/>
              <w:ind w:right="174" w:rightChars="83"/>
              <w:rPr>
                <w:rFonts w:hint="default" w:ascii="Times New Roman" w:hAnsi="Times New Roman" w:cs="Times New Roman"/>
                <w:szCs w:val="21"/>
                <w:highlight w:val="none"/>
              </w:rPr>
            </w:pPr>
          </w:p>
          <w:p w14:paraId="1FECCFAF">
            <w:pPr>
              <w:pageBreakBefore w:val="0"/>
              <w:kinsoku/>
              <w:wordWrap w:val="0"/>
              <w:bidi w:val="0"/>
              <w:spacing w:line="520" w:lineRule="atLeast"/>
              <w:ind w:right="174" w:rightChars="83"/>
              <w:rPr>
                <w:rFonts w:hint="default" w:ascii="Times New Roman" w:hAnsi="Times New Roman" w:cs="Times New Roman"/>
                <w:szCs w:val="21"/>
                <w:highlight w:val="none"/>
              </w:rPr>
            </w:pPr>
          </w:p>
          <w:p w14:paraId="7C4EEEE9">
            <w:pPr>
              <w:pageBreakBefore w:val="0"/>
              <w:kinsoku/>
              <w:wordWrap w:val="0"/>
              <w:bidi w:val="0"/>
              <w:spacing w:line="520" w:lineRule="atLeast"/>
              <w:ind w:right="174" w:rightChars="83"/>
              <w:rPr>
                <w:rFonts w:hint="default" w:ascii="Times New Roman" w:hAnsi="Times New Roman" w:cs="Times New Roman"/>
                <w:szCs w:val="21"/>
                <w:highlight w:val="none"/>
              </w:rPr>
            </w:pPr>
          </w:p>
          <w:p w14:paraId="18FCF75C">
            <w:pPr>
              <w:pageBreakBefore w:val="0"/>
              <w:kinsoku/>
              <w:wordWrap w:val="0"/>
              <w:bidi w:val="0"/>
              <w:spacing w:line="520" w:lineRule="atLeast"/>
              <w:ind w:right="174" w:rightChars="83"/>
              <w:rPr>
                <w:rFonts w:hint="default" w:ascii="Times New Roman" w:hAnsi="Times New Roman" w:cs="Times New Roman"/>
                <w:szCs w:val="21"/>
                <w:highlight w:val="none"/>
              </w:rPr>
            </w:pPr>
          </w:p>
          <w:p w14:paraId="6741F87B">
            <w:pPr>
              <w:pageBreakBefore w:val="0"/>
              <w:kinsoku/>
              <w:wordWrap w:val="0"/>
              <w:bidi w:val="0"/>
              <w:spacing w:line="520" w:lineRule="atLeast"/>
              <w:ind w:right="174" w:rightChars="83"/>
              <w:rPr>
                <w:rFonts w:hint="default" w:ascii="Times New Roman" w:hAnsi="Times New Roman" w:cs="Times New Roman"/>
                <w:szCs w:val="21"/>
                <w:highlight w:val="none"/>
              </w:rPr>
            </w:pPr>
          </w:p>
          <w:p w14:paraId="0823C088">
            <w:pPr>
              <w:pageBreakBefore w:val="0"/>
              <w:kinsoku/>
              <w:wordWrap w:val="0"/>
              <w:bidi w:val="0"/>
              <w:spacing w:line="520" w:lineRule="atLeast"/>
              <w:ind w:right="174" w:rightChars="83"/>
              <w:rPr>
                <w:rFonts w:hint="default" w:ascii="Times New Roman" w:hAnsi="Times New Roman" w:cs="Times New Roman"/>
                <w:szCs w:val="21"/>
                <w:highlight w:val="none"/>
              </w:rPr>
            </w:pPr>
          </w:p>
          <w:p w14:paraId="11467498">
            <w:pPr>
              <w:pageBreakBefore w:val="0"/>
              <w:kinsoku/>
              <w:wordWrap w:val="0"/>
              <w:bidi w:val="0"/>
              <w:spacing w:line="520" w:lineRule="atLeast"/>
              <w:rPr>
                <w:rFonts w:hint="default" w:ascii="Times New Roman" w:hAnsi="Times New Roman" w:cs="Times New Roman"/>
                <w:szCs w:val="21"/>
                <w:highlight w:val="none"/>
              </w:rPr>
            </w:pPr>
          </w:p>
          <w:p w14:paraId="59EC0EEE">
            <w:pPr>
              <w:pageBreakBefore w:val="0"/>
              <w:kinsoku/>
              <w:wordWrap w:val="0"/>
              <w:bidi w:val="0"/>
              <w:spacing w:line="520" w:lineRule="atLeast"/>
              <w:rPr>
                <w:rFonts w:hint="default" w:ascii="Times New Roman" w:hAnsi="Times New Roman" w:cs="Times New Roman"/>
                <w:szCs w:val="21"/>
                <w:highlight w:val="none"/>
              </w:rPr>
            </w:pPr>
          </w:p>
        </w:tc>
      </w:tr>
      <w:tr w14:paraId="219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2D2B9E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6DCF13D1">
            <w:pPr>
              <w:pageBreakBefore w:val="0"/>
              <w:kinsoku/>
              <w:wordWrap w:val="0"/>
              <w:bidi w:val="0"/>
              <w:spacing w:line="520" w:lineRule="atLeast"/>
              <w:jc w:val="center"/>
              <w:rPr>
                <w:rFonts w:hint="default" w:ascii="Times New Roman" w:hAnsi="Times New Roman" w:cs="Times New Roman"/>
                <w:szCs w:val="21"/>
                <w:highlight w:val="none"/>
              </w:rPr>
            </w:pPr>
          </w:p>
          <w:p w14:paraId="4C706A5D">
            <w:pPr>
              <w:pageBreakBefore w:val="0"/>
              <w:kinsoku/>
              <w:wordWrap w:val="0"/>
              <w:bidi w:val="0"/>
              <w:spacing w:line="520" w:lineRule="atLeast"/>
              <w:jc w:val="center"/>
              <w:rPr>
                <w:rFonts w:hint="default" w:ascii="Times New Roman" w:hAnsi="Times New Roman" w:cs="Times New Roman"/>
                <w:szCs w:val="21"/>
                <w:highlight w:val="none"/>
              </w:rPr>
            </w:pPr>
          </w:p>
          <w:p w14:paraId="6DB5B4C8">
            <w:pPr>
              <w:pageBreakBefore w:val="0"/>
              <w:kinsoku/>
              <w:wordWrap w:val="0"/>
              <w:bidi w:val="0"/>
              <w:spacing w:line="520" w:lineRule="atLeast"/>
              <w:jc w:val="center"/>
              <w:rPr>
                <w:rFonts w:hint="default" w:ascii="Times New Roman" w:hAnsi="Times New Roman" w:cs="Times New Roman"/>
                <w:szCs w:val="21"/>
                <w:highlight w:val="none"/>
              </w:rPr>
            </w:pPr>
          </w:p>
          <w:p w14:paraId="69463101">
            <w:pPr>
              <w:pageBreakBefore w:val="0"/>
              <w:kinsoku/>
              <w:wordWrap w:val="0"/>
              <w:bidi w:val="0"/>
              <w:spacing w:line="520" w:lineRule="atLeast"/>
              <w:jc w:val="center"/>
              <w:rPr>
                <w:rFonts w:hint="default" w:ascii="Times New Roman" w:hAnsi="Times New Roman" w:cs="Times New Roman"/>
                <w:szCs w:val="21"/>
                <w:highlight w:val="none"/>
              </w:rPr>
            </w:pPr>
          </w:p>
        </w:tc>
      </w:tr>
    </w:tbl>
    <w:p w14:paraId="3BD6877D">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p w14:paraId="46FBD22E">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3A1CE17F">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28" w:name="_Toc26668"/>
      <w:bookmarkStart w:id="1529" w:name="_Toc234833276"/>
      <w:bookmarkStart w:id="1530" w:name="_Toc14603"/>
      <w:r>
        <w:rPr>
          <w:rFonts w:hint="default" w:ascii="Times New Roman" w:hAnsi="Times New Roman" w:eastAsia="黑体" w:cs="Times New Roman"/>
          <w:b w:val="0"/>
          <w:sz w:val="28"/>
          <w:szCs w:val="28"/>
          <w:highlight w:val="none"/>
        </w:rPr>
        <w:t>七、拟分包项目情况表</w:t>
      </w:r>
      <w:bookmarkEnd w:id="1528"/>
      <w:bookmarkEnd w:id="1529"/>
      <w:bookmarkEnd w:id="1530"/>
    </w:p>
    <w:p w14:paraId="679880FE">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4D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010DEB4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拟分包的工程项目</w:t>
            </w:r>
          </w:p>
        </w:tc>
        <w:tc>
          <w:tcPr>
            <w:tcW w:w="2456" w:type="dxa"/>
            <w:noWrap w:val="0"/>
            <w:vAlign w:val="center"/>
          </w:tcPr>
          <w:p w14:paraId="4DD8E4E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主要工程内容</w:t>
            </w:r>
          </w:p>
        </w:tc>
        <w:tc>
          <w:tcPr>
            <w:tcW w:w="1864" w:type="dxa"/>
            <w:noWrap w:val="0"/>
            <w:vAlign w:val="center"/>
          </w:tcPr>
          <w:p w14:paraId="523836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预计造价（万元）</w:t>
            </w:r>
          </w:p>
        </w:tc>
        <w:tc>
          <w:tcPr>
            <w:tcW w:w="2582" w:type="dxa"/>
            <w:noWrap w:val="0"/>
            <w:vAlign w:val="center"/>
          </w:tcPr>
          <w:p w14:paraId="50413CA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r>
      <w:tr w14:paraId="289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14:paraId="6A445D5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629ED3FF">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BDB4E2A">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restart"/>
            <w:noWrap w:val="0"/>
            <w:vAlign w:val="center"/>
          </w:tcPr>
          <w:p w14:paraId="73841C66">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注：若无分包计划，则投标人应在本表填写</w:t>
            </w:r>
            <w:r>
              <w:rPr>
                <w:rFonts w:hint="eastAsia" w:ascii="宋体" w:hAnsi="宋体" w:eastAsia="宋体" w:cs="宋体"/>
                <w:szCs w:val="21"/>
                <w:highlight w:val="none"/>
              </w:rPr>
              <w:t>“</w:t>
            </w:r>
            <w:r>
              <w:rPr>
                <w:rFonts w:hint="default" w:ascii="Times New Roman" w:hAnsi="Times New Roman" w:cs="Times New Roman"/>
                <w:szCs w:val="21"/>
                <w:highlight w:val="none"/>
              </w:rPr>
              <w:t>无</w:t>
            </w:r>
            <w:r>
              <w:rPr>
                <w:rFonts w:hint="eastAsia" w:ascii="宋体" w:hAnsi="宋体" w:eastAsia="宋体" w:cs="宋体"/>
                <w:szCs w:val="21"/>
                <w:highlight w:val="none"/>
              </w:rPr>
              <w:t>”</w:t>
            </w:r>
          </w:p>
        </w:tc>
      </w:tr>
      <w:tr w14:paraId="214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14:paraId="4B20F70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2BAC73CD">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96822E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558E4ED">
            <w:pPr>
              <w:pageBreakBefore w:val="0"/>
              <w:kinsoku/>
              <w:wordWrap w:val="0"/>
              <w:bidi w:val="0"/>
              <w:spacing w:line="440" w:lineRule="exact"/>
              <w:jc w:val="center"/>
              <w:rPr>
                <w:rFonts w:hint="default" w:ascii="Times New Roman" w:hAnsi="Times New Roman" w:cs="Times New Roman"/>
                <w:szCs w:val="21"/>
                <w:highlight w:val="none"/>
              </w:rPr>
            </w:pPr>
          </w:p>
        </w:tc>
      </w:tr>
      <w:tr w14:paraId="3A5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F94771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A66375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55043DE">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7B12D72">
            <w:pPr>
              <w:pageBreakBefore w:val="0"/>
              <w:kinsoku/>
              <w:wordWrap w:val="0"/>
              <w:bidi w:val="0"/>
              <w:spacing w:line="440" w:lineRule="exact"/>
              <w:jc w:val="center"/>
              <w:rPr>
                <w:rFonts w:hint="default" w:ascii="Times New Roman" w:hAnsi="Times New Roman" w:cs="Times New Roman"/>
                <w:szCs w:val="21"/>
                <w:highlight w:val="none"/>
              </w:rPr>
            </w:pPr>
          </w:p>
        </w:tc>
      </w:tr>
      <w:tr w14:paraId="61D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14:paraId="790A97B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E7C1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8C3DA8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00D2B64">
            <w:pPr>
              <w:pageBreakBefore w:val="0"/>
              <w:kinsoku/>
              <w:wordWrap w:val="0"/>
              <w:bidi w:val="0"/>
              <w:spacing w:line="440" w:lineRule="exact"/>
              <w:jc w:val="center"/>
              <w:rPr>
                <w:rFonts w:hint="default" w:ascii="Times New Roman" w:hAnsi="Times New Roman" w:cs="Times New Roman"/>
                <w:szCs w:val="21"/>
                <w:highlight w:val="none"/>
              </w:rPr>
            </w:pPr>
          </w:p>
        </w:tc>
      </w:tr>
      <w:tr w14:paraId="4D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14:paraId="7B93B54D">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F86922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78EB57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28659BD">
            <w:pPr>
              <w:pageBreakBefore w:val="0"/>
              <w:kinsoku/>
              <w:wordWrap w:val="0"/>
              <w:bidi w:val="0"/>
              <w:spacing w:line="440" w:lineRule="exact"/>
              <w:jc w:val="center"/>
              <w:rPr>
                <w:rFonts w:hint="default" w:ascii="Times New Roman" w:hAnsi="Times New Roman" w:cs="Times New Roman"/>
                <w:szCs w:val="21"/>
                <w:highlight w:val="none"/>
              </w:rPr>
            </w:pPr>
          </w:p>
        </w:tc>
      </w:tr>
      <w:tr w14:paraId="21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E5802A3">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133992">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BD10E7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5E14AA4">
            <w:pPr>
              <w:pageBreakBefore w:val="0"/>
              <w:kinsoku/>
              <w:wordWrap w:val="0"/>
              <w:bidi w:val="0"/>
              <w:spacing w:line="440" w:lineRule="exact"/>
              <w:jc w:val="center"/>
              <w:rPr>
                <w:rFonts w:hint="default" w:ascii="Times New Roman" w:hAnsi="Times New Roman" w:cs="Times New Roman"/>
                <w:szCs w:val="21"/>
                <w:highlight w:val="none"/>
              </w:rPr>
            </w:pPr>
          </w:p>
        </w:tc>
      </w:tr>
      <w:tr w14:paraId="53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561FDF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BB4627">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60F6E1C">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BCAAB2E">
            <w:pPr>
              <w:pageBreakBefore w:val="0"/>
              <w:kinsoku/>
              <w:wordWrap w:val="0"/>
              <w:bidi w:val="0"/>
              <w:spacing w:line="440" w:lineRule="exact"/>
              <w:jc w:val="center"/>
              <w:rPr>
                <w:rFonts w:hint="default" w:ascii="Times New Roman" w:hAnsi="Times New Roman" w:cs="Times New Roman"/>
                <w:szCs w:val="21"/>
                <w:highlight w:val="none"/>
              </w:rPr>
            </w:pPr>
          </w:p>
        </w:tc>
      </w:tr>
      <w:tr w14:paraId="386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8C0EAD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8AC8E9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0C589E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87BCC28">
            <w:pPr>
              <w:pageBreakBefore w:val="0"/>
              <w:kinsoku/>
              <w:wordWrap w:val="0"/>
              <w:bidi w:val="0"/>
              <w:spacing w:line="440" w:lineRule="exact"/>
              <w:jc w:val="center"/>
              <w:rPr>
                <w:rFonts w:hint="default" w:ascii="Times New Roman" w:hAnsi="Times New Roman" w:cs="Times New Roman"/>
                <w:szCs w:val="21"/>
                <w:highlight w:val="none"/>
              </w:rPr>
            </w:pPr>
          </w:p>
        </w:tc>
      </w:tr>
      <w:tr w14:paraId="7773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9FA704A">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48C0C38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7FEAC1C2">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355C028">
            <w:pPr>
              <w:pageBreakBefore w:val="0"/>
              <w:kinsoku/>
              <w:wordWrap w:val="0"/>
              <w:bidi w:val="0"/>
              <w:spacing w:line="440" w:lineRule="exact"/>
              <w:jc w:val="center"/>
              <w:rPr>
                <w:rFonts w:hint="default" w:ascii="Times New Roman" w:hAnsi="Times New Roman" w:cs="Times New Roman"/>
                <w:szCs w:val="21"/>
                <w:highlight w:val="none"/>
              </w:rPr>
            </w:pPr>
          </w:p>
        </w:tc>
      </w:tr>
      <w:tr w14:paraId="397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7AA2F1B">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48823B1">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6375084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219F35">
            <w:pPr>
              <w:pageBreakBefore w:val="0"/>
              <w:kinsoku/>
              <w:wordWrap w:val="0"/>
              <w:bidi w:val="0"/>
              <w:spacing w:line="440" w:lineRule="exact"/>
              <w:jc w:val="center"/>
              <w:rPr>
                <w:rFonts w:hint="default" w:ascii="Times New Roman" w:hAnsi="Times New Roman" w:cs="Times New Roman"/>
                <w:szCs w:val="21"/>
                <w:highlight w:val="none"/>
              </w:rPr>
            </w:pPr>
          </w:p>
        </w:tc>
      </w:tr>
      <w:tr w14:paraId="7AF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33D644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9B8F20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752EDD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D09BE92">
            <w:pPr>
              <w:pageBreakBefore w:val="0"/>
              <w:kinsoku/>
              <w:wordWrap w:val="0"/>
              <w:bidi w:val="0"/>
              <w:spacing w:line="440" w:lineRule="exact"/>
              <w:jc w:val="center"/>
              <w:rPr>
                <w:rFonts w:hint="default" w:ascii="Times New Roman" w:hAnsi="Times New Roman" w:cs="Times New Roman"/>
                <w:szCs w:val="21"/>
                <w:highlight w:val="none"/>
              </w:rPr>
            </w:pPr>
          </w:p>
        </w:tc>
      </w:tr>
      <w:tr w14:paraId="2DF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4E138AF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5A49A9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3D16493">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FF1F9DE">
            <w:pPr>
              <w:pageBreakBefore w:val="0"/>
              <w:kinsoku/>
              <w:wordWrap w:val="0"/>
              <w:bidi w:val="0"/>
              <w:spacing w:line="440" w:lineRule="exact"/>
              <w:jc w:val="center"/>
              <w:rPr>
                <w:rFonts w:hint="default" w:ascii="Times New Roman" w:hAnsi="Times New Roman" w:cs="Times New Roman"/>
                <w:szCs w:val="21"/>
                <w:highlight w:val="none"/>
              </w:rPr>
            </w:pPr>
          </w:p>
        </w:tc>
      </w:tr>
      <w:tr w14:paraId="420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608F062E">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8EB68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AF806B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65BEAD3">
            <w:pPr>
              <w:pageBreakBefore w:val="0"/>
              <w:kinsoku/>
              <w:wordWrap w:val="0"/>
              <w:bidi w:val="0"/>
              <w:spacing w:line="440" w:lineRule="exact"/>
              <w:jc w:val="center"/>
              <w:rPr>
                <w:rFonts w:hint="default" w:ascii="Times New Roman" w:hAnsi="Times New Roman" w:cs="Times New Roman"/>
                <w:szCs w:val="21"/>
                <w:highlight w:val="none"/>
              </w:rPr>
            </w:pPr>
          </w:p>
        </w:tc>
      </w:tr>
      <w:tr w14:paraId="547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545AE60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04F7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AB8969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12FBA90">
            <w:pPr>
              <w:pageBreakBefore w:val="0"/>
              <w:kinsoku/>
              <w:wordWrap w:val="0"/>
              <w:bidi w:val="0"/>
              <w:spacing w:line="440" w:lineRule="exact"/>
              <w:jc w:val="center"/>
              <w:rPr>
                <w:rFonts w:hint="default" w:ascii="Times New Roman" w:hAnsi="Times New Roman" w:cs="Times New Roman"/>
                <w:szCs w:val="21"/>
                <w:highlight w:val="none"/>
              </w:rPr>
            </w:pPr>
          </w:p>
        </w:tc>
      </w:tr>
      <w:tr w14:paraId="53C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D5AEF2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C92C1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2B03E9F">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04E4B9">
            <w:pPr>
              <w:pageBreakBefore w:val="0"/>
              <w:kinsoku/>
              <w:wordWrap w:val="0"/>
              <w:bidi w:val="0"/>
              <w:spacing w:line="440" w:lineRule="exact"/>
              <w:jc w:val="center"/>
              <w:rPr>
                <w:rFonts w:hint="default" w:ascii="Times New Roman" w:hAnsi="Times New Roman" w:cs="Times New Roman"/>
                <w:szCs w:val="21"/>
                <w:highlight w:val="none"/>
              </w:rPr>
            </w:pPr>
          </w:p>
        </w:tc>
      </w:tr>
      <w:tr w14:paraId="41A1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7CF28F6C">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DA89EE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42C913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2E5C4E7">
            <w:pPr>
              <w:pageBreakBefore w:val="0"/>
              <w:kinsoku/>
              <w:wordWrap w:val="0"/>
              <w:bidi w:val="0"/>
              <w:spacing w:line="440" w:lineRule="exact"/>
              <w:jc w:val="center"/>
              <w:rPr>
                <w:rFonts w:hint="default" w:ascii="Times New Roman" w:hAnsi="Times New Roman" w:cs="Times New Roman"/>
                <w:szCs w:val="21"/>
                <w:highlight w:val="none"/>
              </w:rPr>
            </w:pPr>
          </w:p>
        </w:tc>
      </w:tr>
      <w:tr w14:paraId="00E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666EFE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6D8075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F77EA30">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0B54806">
            <w:pPr>
              <w:pageBreakBefore w:val="0"/>
              <w:kinsoku/>
              <w:wordWrap w:val="0"/>
              <w:bidi w:val="0"/>
              <w:spacing w:line="440" w:lineRule="exact"/>
              <w:jc w:val="center"/>
              <w:rPr>
                <w:rFonts w:hint="default" w:ascii="Times New Roman" w:hAnsi="Times New Roman" w:cs="Times New Roman"/>
                <w:szCs w:val="21"/>
                <w:highlight w:val="none"/>
              </w:rPr>
            </w:pPr>
          </w:p>
        </w:tc>
      </w:tr>
      <w:tr w14:paraId="31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D984D9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F21795C">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ABBC494">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F2BB9ED">
            <w:pPr>
              <w:pageBreakBefore w:val="0"/>
              <w:kinsoku/>
              <w:wordWrap w:val="0"/>
              <w:bidi w:val="0"/>
              <w:spacing w:line="440" w:lineRule="exact"/>
              <w:jc w:val="center"/>
              <w:rPr>
                <w:rFonts w:hint="default" w:ascii="Times New Roman" w:hAnsi="Times New Roman" w:cs="Times New Roman"/>
                <w:szCs w:val="21"/>
                <w:highlight w:val="none"/>
              </w:rPr>
            </w:pPr>
          </w:p>
        </w:tc>
      </w:tr>
      <w:tr w14:paraId="794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446E26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C1C4564">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6368CE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AFEDF44">
            <w:pPr>
              <w:pageBreakBefore w:val="0"/>
              <w:kinsoku/>
              <w:wordWrap w:val="0"/>
              <w:bidi w:val="0"/>
              <w:spacing w:line="440" w:lineRule="exact"/>
              <w:jc w:val="center"/>
              <w:rPr>
                <w:rFonts w:hint="default" w:ascii="Times New Roman" w:hAnsi="Times New Roman" w:cs="Times New Roman"/>
                <w:szCs w:val="21"/>
                <w:highlight w:val="none"/>
              </w:rPr>
            </w:pPr>
          </w:p>
        </w:tc>
      </w:tr>
      <w:tr w14:paraId="6E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14:paraId="4A0D4B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拟分包工程造价合计（万元）</w:t>
            </w:r>
          </w:p>
        </w:tc>
        <w:tc>
          <w:tcPr>
            <w:tcW w:w="1864" w:type="dxa"/>
            <w:noWrap w:val="0"/>
            <w:vAlign w:val="center"/>
          </w:tcPr>
          <w:p w14:paraId="6EA965B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E024CBC">
            <w:pPr>
              <w:pageBreakBefore w:val="0"/>
              <w:kinsoku/>
              <w:wordWrap w:val="0"/>
              <w:bidi w:val="0"/>
              <w:spacing w:line="440" w:lineRule="exact"/>
              <w:jc w:val="center"/>
              <w:rPr>
                <w:rFonts w:hint="default" w:ascii="Times New Roman" w:hAnsi="Times New Roman" w:cs="Times New Roman"/>
                <w:szCs w:val="21"/>
                <w:highlight w:val="none"/>
              </w:rPr>
            </w:pPr>
          </w:p>
        </w:tc>
      </w:tr>
    </w:tbl>
    <w:p w14:paraId="308D231F">
      <w:pPr>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outlineLvl w:val="0"/>
        <w:rPr>
          <w:rFonts w:hint="default" w:ascii="Times New Roman" w:hAnsi="Times New Roman" w:eastAsia="黑体" w:cs="Times New Roman"/>
          <w:b w:val="0"/>
          <w:bCs/>
          <w:kern w:val="44"/>
          <w:sz w:val="28"/>
          <w:szCs w:val="28"/>
          <w:highlight w:val="none"/>
        </w:rPr>
      </w:pPr>
      <w:r>
        <w:rPr>
          <w:rFonts w:hint="default" w:ascii="Times New Roman" w:hAnsi="Times New Roman" w:eastAsia="黑体" w:cs="Times New Roman"/>
          <w:sz w:val="27"/>
          <w:szCs w:val="27"/>
          <w:highlight w:val="none"/>
        </w:rPr>
        <w:br w:type="page"/>
      </w:r>
      <w:bookmarkStart w:id="1531" w:name="_Toc6646"/>
      <w:bookmarkStart w:id="1532" w:name="_Toc234833278"/>
      <w:r>
        <w:rPr>
          <w:rFonts w:hint="default" w:ascii="Times New Roman" w:hAnsi="Times New Roman" w:eastAsia="黑体" w:cs="Times New Roman"/>
          <w:b w:val="0"/>
          <w:bCs/>
          <w:kern w:val="44"/>
          <w:sz w:val="28"/>
          <w:szCs w:val="28"/>
          <w:highlight w:val="none"/>
        </w:rPr>
        <w:t>八、资格审查资料</w:t>
      </w:r>
      <w:bookmarkEnd w:id="1531"/>
      <w:bookmarkEnd w:id="1532"/>
    </w:p>
    <w:p w14:paraId="75338AFE">
      <w:pPr>
        <w:pageBreakBefore w:val="0"/>
        <w:kinsoku/>
        <w:wordWrap w:val="0"/>
        <w:bidi w:val="0"/>
        <w:spacing w:before="0" w:after="0" w:line="380" w:lineRule="atLeast"/>
        <w:jc w:val="center"/>
        <w:outlineLvl w:val="9"/>
        <w:rPr>
          <w:rFonts w:hint="default" w:ascii="Times New Roman" w:hAnsi="Times New Roman" w:eastAsia="黑体" w:cs="Times New Roman"/>
          <w:b w:val="0"/>
          <w:sz w:val="28"/>
          <w:szCs w:val="28"/>
          <w:highlight w:val="none"/>
        </w:rPr>
      </w:pPr>
    </w:p>
    <w:p w14:paraId="16E1065E">
      <w:pPr>
        <w:pStyle w:val="2"/>
        <w:pageBreakBefore w:val="0"/>
        <w:kinsoku/>
        <w:wordWrap w:val="0"/>
        <w:bidi w:val="0"/>
        <w:spacing w:before="0" w:after="0" w:line="380" w:lineRule="atLeast"/>
        <w:jc w:val="center"/>
        <w:rPr>
          <w:rFonts w:hint="default" w:ascii="Times New Roman" w:hAnsi="Times New Roman" w:eastAsia="黑体" w:cs="Times New Roman"/>
          <w:sz w:val="23"/>
          <w:szCs w:val="23"/>
          <w:highlight w:val="none"/>
        </w:rPr>
      </w:pPr>
      <w:bookmarkStart w:id="1533" w:name="_Toc1523"/>
      <w:bookmarkStart w:id="1534" w:name="_Toc15892"/>
      <w:bookmarkStart w:id="1535" w:name="_Toc234833279"/>
      <w:r>
        <w:rPr>
          <w:rFonts w:hint="default" w:ascii="Times New Roman" w:hAnsi="Times New Roman" w:eastAsia="黑体" w:cs="Times New Roman"/>
          <w:b w:val="0"/>
          <w:sz w:val="24"/>
          <w:szCs w:val="24"/>
          <w:highlight w:val="none"/>
        </w:rPr>
        <w:t>（一）投标人基本情况表</w:t>
      </w:r>
      <w:bookmarkEnd w:id="1533"/>
      <w:bookmarkEnd w:id="1534"/>
      <w:bookmarkEnd w:id="1535"/>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928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ADA8B7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98F4DE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F3E5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2F646C">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89B350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89B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848A10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1A8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3AA4866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C7766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B6B807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E30823">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4E2467F">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971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22645F7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EBA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7D63AD2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26AD10E">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07391B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F9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354D20B">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FBA89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3556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85230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E53958">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27FBBE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D13F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FF1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7EF095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D4C99">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A6501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80C83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5221EA">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F76669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C41D7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5E8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D454CC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A398AE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478CB75B">
            <w:pPr>
              <w:pageBreakBefore w:val="0"/>
              <w:kinsoku/>
              <w:wordWrap w:val="0"/>
              <w:topLinePunct/>
              <w:bidi w:val="0"/>
              <w:spacing w:line="440" w:lineRule="exact"/>
              <w:ind w:firstLine="105" w:firstLine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员工总人数：</w:t>
            </w:r>
          </w:p>
        </w:tc>
      </w:tr>
      <w:tr w14:paraId="41F74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D8C355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F4254F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55E7F762">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4FE719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7FF94DA">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152E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02FDF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DDC76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729E08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F8EE22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59B8AFF0">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E54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C85DF0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D2C346">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DBF71A9">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CAE0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705F42C">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DE4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91E4D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E185A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3FA3F14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6329727">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4179967E">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4F4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0FA07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409B79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408927D">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92926DC">
            <w:pPr>
              <w:pStyle w:val="28"/>
              <w:pageBreakBefore w:val="0"/>
              <w:kinsoku/>
              <w:wordWrap w:val="0"/>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D6D9C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B72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54EDD2CC">
            <w:pPr>
              <w:pageBreakBefore w:val="0"/>
              <w:kinsoku/>
              <w:wordWrap w:val="0"/>
              <w:topLinePunct/>
              <w:bidi w:val="0"/>
              <w:spacing w:line="440" w:lineRule="exact"/>
              <w:ind w:firstLine="210" w:firstLineChars="10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14:paraId="0717A6F7">
            <w:pPr>
              <w:pageBreakBefore w:val="0"/>
              <w:kinsoku/>
              <w:wordWrap w:val="0"/>
              <w:topLinePunct/>
              <w:bidi w:val="0"/>
              <w:spacing w:line="440" w:lineRule="exact"/>
              <w:jc w:val="center"/>
              <w:rPr>
                <w:rFonts w:hint="default" w:ascii="Times New Roman" w:hAnsi="Times New Roman" w:cs="Times New Roman"/>
                <w:szCs w:val="21"/>
                <w:highlight w:val="none"/>
              </w:rPr>
            </w:pPr>
          </w:p>
          <w:p w14:paraId="444D942F">
            <w:pPr>
              <w:pageBreakBefore w:val="0"/>
              <w:kinsoku/>
              <w:wordWrap w:val="0"/>
              <w:topLinePunct/>
              <w:bidi w:val="0"/>
              <w:spacing w:line="440" w:lineRule="exact"/>
              <w:jc w:val="center"/>
              <w:rPr>
                <w:rFonts w:hint="default" w:ascii="Times New Roman" w:hAnsi="Times New Roman" w:cs="Times New Roman"/>
                <w:szCs w:val="21"/>
                <w:highlight w:val="none"/>
              </w:rPr>
            </w:pPr>
          </w:p>
          <w:p w14:paraId="5E635236">
            <w:pPr>
              <w:pageBreakBefore w:val="0"/>
              <w:kinsoku/>
              <w:wordWrap w:val="0"/>
              <w:topLinePunct/>
              <w:bidi w:val="0"/>
              <w:spacing w:line="440" w:lineRule="exact"/>
              <w:jc w:val="center"/>
              <w:rPr>
                <w:rFonts w:hint="default" w:ascii="Times New Roman" w:hAnsi="Times New Roman" w:cs="Times New Roman"/>
                <w:szCs w:val="21"/>
                <w:highlight w:val="none"/>
              </w:rPr>
            </w:pPr>
          </w:p>
          <w:p w14:paraId="3574CD2F">
            <w:pPr>
              <w:pageBreakBefore w:val="0"/>
              <w:kinsoku/>
              <w:wordWrap w:val="0"/>
              <w:topLinePunct/>
              <w:bidi w:val="0"/>
              <w:spacing w:line="440" w:lineRule="exact"/>
              <w:rPr>
                <w:rFonts w:hint="default" w:ascii="Times New Roman" w:hAnsi="Times New Roman" w:cs="Times New Roman"/>
                <w:szCs w:val="21"/>
                <w:highlight w:val="none"/>
              </w:rPr>
            </w:pPr>
          </w:p>
        </w:tc>
      </w:tr>
      <w:tr w14:paraId="2FC1C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FE7C22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D3CE77">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投标人应提供关联企业情况，包括：</w:t>
            </w:r>
          </w:p>
          <w:p w14:paraId="303035E0">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（1）投标人的所有股东名称及相应股权（出资额）比例；如投标人为上市公司，投标人应提供股权占公司股份总数</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%以上的所有股东名称及相应股权比例；</w:t>
            </w:r>
          </w:p>
          <w:p w14:paraId="505C6BBD">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（2）投标人投资（控股）或管理的下属企业名称、持有股权（出资额）比例；</w:t>
            </w:r>
          </w:p>
          <w:p w14:paraId="0661B7FF">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（3）与投标人单位负责人（即法定代表人）为同一人的其他单位名称</w:t>
            </w:r>
          </w:p>
          <w:p w14:paraId="291F5326">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8B91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2EC374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79B5144">
            <w:pPr>
              <w:pageBreakBefore w:val="0"/>
              <w:kinsoku/>
              <w:wordWrap w:val="0"/>
              <w:topLinePunct/>
              <w:bidi w:val="0"/>
              <w:spacing w:line="440" w:lineRule="exact"/>
              <w:jc w:val="center"/>
              <w:rPr>
                <w:rFonts w:hint="default" w:ascii="Times New Roman" w:hAnsi="Times New Roman" w:cs="Times New Roman"/>
                <w:szCs w:val="21"/>
                <w:highlight w:val="none"/>
              </w:rPr>
            </w:pPr>
          </w:p>
        </w:tc>
      </w:tr>
    </w:tbl>
    <w:p w14:paraId="1A81565F">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第3.5.1项的要求在本表后附相关证明材料。</w:t>
      </w:r>
    </w:p>
    <w:p w14:paraId="4CB5E1C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2.以联合体形式参与投标的，联合体各成员应分别填写。</w:t>
      </w:r>
    </w:p>
    <w:p w14:paraId="765DA66E">
      <w:pPr>
        <w:pageBreakBefore w:val="0"/>
        <w:kinsoku/>
        <w:wordWrap w:val="0"/>
        <w:bidi w:val="0"/>
        <w:spacing w:line="440" w:lineRule="exact"/>
        <w:jc w:val="center"/>
        <w:rPr>
          <w:rFonts w:hint="default" w:ascii="Times New Roman" w:hAnsi="Times New Roman" w:cs="Times New Roman"/>
          <w:szCs w:val="21"/>
          <w:highlight w:val="none"/>
        </w:rPr>
      </w:pPr>
    </w:p>
    <w:p w14:paraId="4C18B83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36" w:name="_Toc18039"/>
      <w:bookmarkStart w:id="1537" w:name="_Toc234833280"/>
      <w:bookmarkStart w:id="1538" w:name="_Toc12209"/>
      <w:r>
        <w:rPr>
          <w:rFonts w:hint="default" w:ascii="Times New Roman" w:hAnsi="Times New Roman" w:eastAsia="黑体" w:cs="Times New Roman"/>
          <w:b w:val="0"/>
          <w:sz w:val="24"/>
          <w:szCs w:val="24"/>
          <w:highlight w:val="none"/>
        </w:rPr>
        <w:t>（二）投标人企业组织机构框图</w:t>
      </w:r>
      <w:bookmarkEnd w:id="1536"/>
      <w:bookmarkEnd w:id="1537"/>
      <w:bookmarkEnd w:id="1538"/>
    </w:p>
    <w:p w14:paraId="6D007063">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sz w:val="20"/>
          <w:szCs w:val="20"/>
          <w:highlight w:val="none"/>
        </w:rPr>
      </w:pPr>
    </w:p>
    <w:p w14:paraId="48FB9C2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5B0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2B0E83F">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076FE74">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以框图方式表示。</w:t>
            </w:r>
          </w:p>
          <w:p w14:paraId="5F8BE9A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6E4D02B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CD4F9F9">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B119415">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C8704AC">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3CD9D55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1D6009E8">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8690F91">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05FCE84B">
            <w:pPr>
              <w:pageBreakBefore w:val="0"/>
              <w:kinsoku/>
              <w:wordWrap w:val="0"/>
              <w:bidi w:val="0"/>
              <w:spacing w:line="400" w:lineRule="atLeast"/>
              <w:ind w:right="174" w:rightChars="83" w:firstLine="4"/>
              <w:rPr>
                <w:rFonts w:hint="default" w:ascii="Times New Roman" w:hAnsi="Times New Roman" w:cs="Times New Roman"/>
                <w:szCs w:val="21"/>
                <w:highlight w:val="none"/>
              </w:rPr>
            </w:pPr>
          </w:p>
        </w:tc>
      </w:tr>
      <w:tr w14:paraId="14A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0A39E824">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2928C40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1A078E5A">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44D240B7">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E6C8F7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tc>
      </w:tr>
    </w:tbl>
    <w:p w14:paraId="59FAB169">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p w14:paraId="5E12FBE1">
      <w:pPr>
        <w:pageBreakBefore w:val="0"/>
        <w:kinsoku/>
        <w:wordWrap w:val="0"/>
        <w:topLinePunct/>
        <w:bidi w:val="0"/>
        <w:spacing w:line="340" w:lineRule="atLeas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w:t>
      </w:r>
    </w:p>
    <w:p w14:paraId="47C75C9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39" w:name="_Toc23426"/>
      <w:bookmarkStart w:id="1540" w:name="_Toc9070"/>
      <w:bookmarkStart w:id="1541" w:name="_Toc234833282"/>
      <w:bookmarkStart w:id="1542" w:name="_Toc23483328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三</w:t>
      </w:r>
      <w:r>
        <w:rPr>
          <w:rFonts w:hint="default" w:ascii="Times New Roman" w:hAnsi="Times New Roman" w:eastAsia="黑体" w:cs="Times New Roman"/>
          <w:b w:val="0"/>
          <w:sz w:val="24"/>
          <w:szCs w:val="24"/>
          <w:highlight w:val="none"/>
        </w:rPr>
        <w:t>）近年财务状况</w:t>
      </w:r>
      <w:bookmarkEnd w:id="1539"/>
      <w:bookmarkEnd w:id="1540"/>
      <w:bookmarkEnd w:id="1541"/>
    </w:p>
    <w:p w14:paraId="7DDDB337">
      <w:pPr>
        <w:pageBreakBefore w:val="0"/>
        <w:kinsoku/>
        <w:wordWrap w:val="0"/>
        <w:bidi w:val="0"/>
        <w:spacing w:line="440" w:lineRule="exact"/>
        <w:rPr>
          <w:rFonts w:hint="default" w:ascii="Times New Roman" w:hAnsi="Times New Roman" w:eastAsia="黑体" w:cs="Times New Roman"/>
          <w:sz w:val="20"/>
          <w:szCs w:val="20"/>
          <w:highlight w:val="none"/>
        </w:rPr>
      </w:pPr>
    </w:p>
    <w:p w14:paraId="16A4F972">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财务状况表</w:t>
      </w:r>
    </w:p>
    <w:p w14:paraId="474D0E4C">
      <w:pPr>
        <w:pageBreakBefore w:val="0"/>
        <w:kinsoku/>
        <w:wordWrap w:val="0"/>
        <w:bidi w:val="0"/>
        <w:spacing w:line="320" w:lineRule="atLeast"/>
        <w:jc w:val="center"/>
        <w:rPr>
          <w:rFonts w:hint="default" w:ascii="Times New Roman" w:hAnsi="Times New Roman" w:eastAsia="黑体" w:cs="Times New Roman"/>
          <w:b/>
          <w:sz w:val="28"/>
          <w:highlight w:val="none"/>
        </w:rPr>
      </w:pPr>
    </w:p>
    <w:tbl>
      <w:tblPr>
        <w:tblStyle w:val="40"/>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FD9BDA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C6CAD4">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852F0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0493F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255CD8C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BA9C12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r>
      <w:tr w14:paraId="4B5D1B3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44A1BD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82371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CFF34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29867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AF2D0E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43F676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BB6131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98463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D7E84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C898DF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B878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083D27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97E611C">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CF9E7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4D48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2E2D3F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88316E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635185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7CC528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B12AC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916B5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E8A1A3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D75D12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53ED448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7D1AAB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75D77E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CBEF9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97CF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41F91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D9A0BC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5F49C5">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77484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ECEA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23DE2F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53F70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BC84EB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345A12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E796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C45DC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21DC1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6F9417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05F18C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EC01BEA">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31D6825">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A93B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C95E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07684C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E663E0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AB67CA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FCC41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FA461E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8ABE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DCF2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61A9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7C6C59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888A6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FAFF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34D97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08EB4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673EB0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37F8221">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1B501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2FA29B3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6C333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A62C3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22FE6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F8EB2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E4E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57E387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DE907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A0330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B806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3EB341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D89AEF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3080DEB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1FEA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5B48C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7FA377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A26DF58">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26C32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53B72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20D5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A4522F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88E894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802BC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5927D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DE0D5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877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0569E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ADC815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3558975">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2B88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4D098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6056A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6CDEE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48C707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DC6C17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1CD47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F055D2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DD2AA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45B71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bl>
    <w:p w14:paraId="1FAFCEE1">
      <w:pPr>
        <w:pageBreakBefore w:val="0"/>
        <w:kinsoku/>
        <w:wordWrap w:val="0"/>
        <w:bidi w:val="0"/>
        <w:spacing w:line="400" w:lineRule="atLeast"/>
        <w:ind w:left="735" w:hanging="735" w:hangingChars="3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第3.5.2项的要求在本表后附相关证明材料。</w:t>
      </w:r>
    </w:p>
    <w:p w14:paraId="167F6D8C">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2.本表所列数据必须与本表各附件中的数据相一致。</w:t>
      </w:r>
    </w:p>
    <w:p w14:paraId="3909820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前附表附录2要求及第三章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15C90C6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4"/>
          <w:highlight w:val="none"/>
        </w:rPr>
        <w:t>银行信贷证明</w:t>
      </w:r>
      <w:r>
        <w:rPr>
          <w:rStyle w:val="48"/>
          <w:rFonts w:hint="default" w:ascii="Times New Roman" w:hAnsi="Times New Roman" w:eastAsia="黑体" w:cs="Times New Roman"/>
          <w:sz w:val="24"/>
          <w:highlight w:val="none"/>
        </w:rPr>
        <w:footnoteReference w:id="38"/>
      </w:r>
    </w:p>
    <w:p w14:paraId="11520361">
      <w:pPr>
        <w:pageBreakBefore w:val="0"/>
        <w:kinsoku/>
        <w:wordWrap w:val="0"/>
        <w:bidi w:val="0"/>
        <w:spacing w:line="360" w:lineRule="atLeast"/>
        <w:jc w:val="center"/>
        <w:rPr>
          <w:rFonts w:hint="default" w:ascii="Times New Roman" w:hAnsi="Times New Roman" w:cs="Times New Roman"/>
          <w:sz w:val="24"/>
          <w:highlight w:val="none"/>
        </w:rPr>
      </w:pPr>
    </w:p>
    <w:p w14:paraId="3AFC359E">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银行名称：________________________________</w:t>
      </w:r>
    </w:p>
    <w:p w14:paraId="0F030EC2">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地    址：________________________________</w:t>
      </w:r>
    </w:p>
    <w:p w14:paraId="263243A4">
      <w:pPr>
        <w:pageBreakBefore w:val="0"/>
        <w:kinsoku/>
        <w:wordWrap w:val="0"/>
        <w:autoSpaceDE w:val="0"/>
        <w:autoSpaceDN w:val="0"/>
        <w:bidi w:val="0"/>
        <w:adjustRightInd w:val="0"/>
        <w:spacing w:line="520" w:lineRule="atLeast"/>
        <w:jc w:val="right"/>
        <w:rPr>
          <w:rFonts w:hint="default" w:ascii="Times New Roman" w:hAnsi="Times New Roman" w:cs="Times New Roman"/>
          <w:sz w:val="24"/>
          <w:highlight w:val="none"/>
        </w:rPr>
      </w:pPr>
      <w:r>
        <w:rPr>
          <w:rFonts w:hint="default" w:ascii="Times New Roman" w:hAnsi="Times New Roman" w:cs="Times New Roman"/>
          <w:sz w:val="24"/>
          <w:highlight w:val="none"/>
        </w:rPr>
        <w:t xml:space="preserve">日期：_____________ </w:t>
      </w:r>
    </w:p>
    <w:p w14:paraId="6F50F87C">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44E55803">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 xml:space="preserve">    （招标人全称）    </w:t>
      </w:r>
    </w:p>
    <w:p w14:paraId="64DBBDB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00383B40">
      <w:pPr>
        <w:pageBreakBefore w:val="0"/>
        <w:kinsoku/>
        <w:wordWrap w:val="0"/>
        <w:autoSpaceDE w:val="0"/>
        <w:autoSpaceDN w:val="0"/>
        <w:bidi w:val="0"/>
        <w:adjustRightInd w:val="0"/>
        <w:spacing w:line="40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兹开具最高限额为人民币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万元的银行信贷，供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（投标人注册地点）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日之前，在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（项目名称）需要时使用。我行保证由____________（投标人名称）提供的财务报表中所开列的作为流动资产的各项中无一项包含在上述提到的银行信贷中。</w:t>
      </w:r>
    </w:p>
    <w:p w14:paraId="2A6F0197">
      <w:pPr>
        <w:pageBreakBefore w:val="0"/>
        <w:kinsoku/>
        <w:wordWrap w:val="0"/>
        <w:autoSpaceDE w:val="0"/>
        <w:autoSpaceDN w:val="0"/>
        <w:bidi w:val="0"/>
        <w:adjustRightInd w:val="0"/>
        <w:spacing w:line="52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此项目若未中标，该信贷证明自动失效，无须退回我行。</w:t>
      </w:r>
    </w:p>
    <w:p w14:paraId="4605E76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754086F9">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rPr>
      </w:pPr>
      <w:r>
        <w:rPr>
          <w:rFonts w:hint="default" w:ascii="Times New Roman" w:hAnsi="Times New Roman" w:cs="Times New Roman"/>
          <w:sz w:val="24"/>
          <w:highlight w:val="none"/>
        </w:rPr>
        <w:t>银          行（盖单位章）：</w:t>
      </w:r>
      <w:r>
        <w:rPr>
          <w:rFonts w:hint="default" w:ascii="Times New Roman" w:hAnsi="Times New Roman" w:cs="Times New Roman"/>
          <w:sz w:val="24"/>
          <w:highlight w:val="none"/>
          <w:u w:val="single"/>
        </w:rPr>
        <w:t xml:space="preserve">                 </w:t>
      </w:r>
    </w:p>
    <w:p w14:paraId="2D97507D">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银行主要负责人（签字）：</w:t>
      </w:r>
      <w:r>
        <w:rPr>
          <w:rFonts w:hint="default" w:ascii="Times New Roman" w:hAnsi="Times New Roman" w:cs="Times New Roman"/>
          <w:sz w:val="24"/>
          <w:highlight w:val="none"/>
          <w:u w:val="single"/>
        </w:rPr>
        <w:t xml:space="preserve">                     </w:t>
      </w:r>
    </w:p>
    <w:p w14:paraId="022D011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银行主要负责人姓名、职务：</w:t>
      </w:r>
      <w:r>
        <w:rPr>
          <w:rFonts w:hint="default" w:ascii="Times New Roman" w:hAnsi="Times New Roman" w:cs="Times New Roman"/>
          <w:sz w:val="24"/>
          <w:highlight w:val="none"/>
          <w:u w:val="single"/>
        </w:rPr>
        <w:t xml:space="preserve">     （打印）    </w:t>
      </w:r>
    </w:p>
    <w:p w14:paraId="6FC42598">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电    话：</w:t>
      </w:r>
      <w:r>
        <w:rPr>
          <w:rFonts w:hint="default" w:ascii="Times New Roman" w:hAnsi="Times New Roman" w:cs="Times New Roman"/>
          <w:sz w:val="24"/>
          <w:highlight w:val="none"/>
          <w:u w:val="single"/>
        </w:rPr>
        <w:t xml:space="preserve">                    </w:t>
      </w:r>
    </w:p>
    <w:p w14:paraId="6DE9884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传    真：</w:t>
      </w:r>
      <w:r>
        <w:rPr>
          <w:rFonts w:hint="default" w:ascii="Times New Roman" w:hAnsi="Times New Roman" w:cs="Times New Roman"/>
          <w:sz w:val="24"/>
          <w:highlight w:val="none"/>
          <w:u w:val="single"/>
        </w:rPr>
        <w:t xml:space="preserve">                    </w:t>
      </w:r>
    </w:p>
    <w:p w14:paraId="7430B3A0">
      <w:pPr>
        <w:pageBreakBefore w:val="0"/>
        <w:kinsoku/>
        <w:wordWrap w:val="0"/>
        <w:bidi w:val="0"/>
        <w:spacing w:line="320" w:lineRule="atLeast"/>
        <w:jc w:val="center"/>
        <w:rPr>
          <w:rFonts w:hint="default" w:ascii="Times New Roman" w:hAnsi="Times New Roman" w:cs="Times New Roman"/>
          <w:sz w:val="24"/>
          <w:highlight w:val="none"/>
        </w:rPr>
      </w:pPr>
    </w:p>
    <w:p w14:paraId="4F20CB86">
      <w:pPr>
        <w:pageBreakBefore w:val="0"/>
        <w:kinsoku/>
        <w:wordWrap w:val="0"/>
        <w:bidi w:val="0"/>
        <w:spacing w:line="320" w:lineRule="atLeast"/>
        <w:jc w:val="center"/>
        <w:rPr>
          <w:rFonts w:hint="default" w:ascii="Times New Roman" w:hAnsi="Times New Roman" w:cs="Times New Roman"/>
          <w:sz w:val="24"/>
          <w:highlight w:val="none"/>
        </w:rPr>
      </w:pPr>
    </w:p>
    <w:p w14:paraId="014AA595">
      <w:pPr>
        <w:pStyle w:val="30"/>
        <w:pageBreakBefore w:val="0"/>
        <w:kinsoku/>
        <w:wordWrap w:val="0"/>
        <w:bidi w:val="0"/>
        <w:spacing w:line="320" w:lineRule="atLeast"/>
        <w:ind w:left="1084" w:leftChars="216" w:hanging="630" w:hangingChars="3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注：允许投标人实际开具的银行信贷证明的格式与《</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》提供的格式有所不同，但不得更改《</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》提供的银行信贷证明格式中的实质性内容。</w:t>
      </w:r>
    </w:p>
    <w:p w14:paraId="3E374671">
      <w:pPr>
        <w:pageBreakBefore w:val="0"/>
        <w:kinsoku/>
        <w:wordWrap w:val="0"/>
        <w:bidi w:val="0"/>
        <w:spacing w:line="320" w:lineRule="atLeast"/>
        <w:ind w:left="1155" w:leftChars="400" w:hanging="315" w:hangingChars="150"/>
        <w:rPr>
          <w:rFonts w:hint="default" w:ascii="Times New Roman" w:hAnsi="Times New Roman" w:cs="Times New Roman"/>
          <w:szCs w:val="21"/>
          <w:highlight w:val="none"/>
        </w:rPr>
      </w:pPr>
    </w:p>
    <w:p w14:paraId="32D3DCAD">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543" w:name="_Toc11478"/>
      <w:bookmarkStart w:id="1544" w:name="_Toc234833283"/>
      <w:bookmarkStart w:id="1545" w:name="_Toc18013"/>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四</w:t>
      </w:r>
      <w:r>
        <w:rPr>
          <w:rFonts w:hint="default" w:ascii="Times New Roman" w:hAnsi="Times New Roman" w:eastAsia="黑体" w:cs="Times New Roman"/>
          <w:b w:val="0"/>
          <w:sz w:val="24"/>
          <w:szCs w:val="24"/>
          <w:highlight w:val="none"/>
        </w:rPr>
        <w:t>）近年完成的类似项目情况表</w:t>
      </w:r>
      <w:bookmarkEnd w:id="1543"/>
      <w:bookmarkEnd w:id="1544"/>
      <w:bookmarkEnd w:id="1545"/>
    </w:p>
    <w:p w14:paraId="0841DD18">
      <w:pPr>
        <w:pageBreakBefore w:val="0"/>
        <w:kinsoku/>
        <w:wordWrap w:val="0"/>
        <w:bidi w:val="0"/>
        <w:spacing w:line="440" w:lineRule="exact"/>
        <w:jc w:val="center"/>
        <w:rPr>
          <w:rFonts w:hint="default" w:ascii="Times New Roman" w:hAnsi="Times New Roman" w:eastAsia="黑体" w:cs="Times New Roman"/>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635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61E9701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Cs w:val="21"/>
                <w:highlight w:val="none"/>
              </w:rPr>
              <w:t>序    号</w:t>
            </w:r>
          </w:p>
        </w:tc>
        <w:tc>
          <w:tcPr>
            <w:tcW w:w="6524" w:type="dxa"/>
            <w:noWrap w:val="0"/>
            <w:vAlign w:val="top"/>
          </w:tcPr>
          <w:p w14:paraId="66A78CD4">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24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4415EE58">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项目名称</w:t>
            </w:r>
          </w:p>
        </w:tc>
        <w:tc>
          <w:tcPr>
            <w:tcW w:w="6524" w:type="dxa"/>
            <w:noWrap w:val="0"/>
            <w:vAlign w:val="top"/>
          </w:tcPr>
          <w:p w14:paraId="4D6AE76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68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12DF527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项目所在地</w:t>
            </w:r>
          </w:p>
        </w:tc>
        <w:tc>
          <w:tcPr>
            <w:tcW w:w="6524" w:type="dxa"/>
            <w:noWrap w:val="0"/>
            <w:vAlign w:val="top"/>
          </w:tcPr>
          <w:p w14:paraId="218B332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89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5ECA023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发包人名称</w:t>
            </w:r>
          </w:p>
        </w:tc>
        <w:tc>
          <w:tcPr>
            <w:tcW w:w="6524" w:type="dxa"/>
            <w:noWrap w:val="0"/>
            <w:vAlign w:val="top"/>
          </w:tcPr>
          <w:p w14:paraId="26E842F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33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371BA50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发包人地址</w:t>
            </w:r>
          </w:p>
        </w:tc>
        <w:tc>
          <w:tcPr>
            <w:tcW w:w="6524" w:type="dxa"/>
            <w:noWrap w:val="0"/>
            <w:vAlign w:val="top"/>
          </w:tcPr>
          <w:p w14:paraId="3DC9856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75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7AD38D5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发包人电话</w:t>
            </w:r>
          </w:p>
        </w:tc>
        <w:tc>
          <w:tcPr>
            <w:tcW w:w="6524" w:type="dxa"/>
            <w:noWrap w:val="0"/>
            <w:vAlign w:val="top"/>
          </w:tcPr>
          <w:p w14:paraId="5CB8C32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A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1AD863E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合同价格</w:t>
            </w:r>
          </w:p>
        </w:tc>
        <w:tc>
          <w:tcPr>
            <w:tcW w:w="6524" w:type="dxa"/>
            <w:noWrap w:val="0"/>
            <w:vAlign w:val="top"/>
          </w:tcPr>
          <w:p w14:paraId="1FFA93B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8C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1B465A3F">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开工日期</w:t>
            </w:r>
          </w:p>
        </w:tc>
        <w:tc>
          <w:tcPr>
            <w:tcW w:w="6524" w:type="dxa"/>
            <w:noWrap w:val="0"/>
            <w:vAlign w:val="top"/>
          </w:tcPr>
          <w:p w14:paraId="21058F93">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40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7B8B4C1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交工日期</w:t>
            </w:r>
          </w:p>
        </w:tc>
        <w:tc>
          <w:tcPr>
            <w:tcW w:w="6524" w:type="dxa"/>
            <w:noWrap w:val="0"/>
            <w:vAlign w:val="top"/>
          </w:tcPr>
          <w:p w14:paraId="2BB7E77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D7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0E7862CC">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承担的工作</w:t>
            </w:r>
          </w:p>
        </w:tc>
        <w:tc>
          <w:tcPr>
            <w:tcW w:w="6524" w:type="dxa"/>
            <w:noWrap w:val="0"/>
            <w:vAlign w:val="top"/>
          </w:tcPr>
          <w:p w14:paraId="670B410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A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473972F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工程质量</w:t>
            </w:r>
          </w:p>
        </w:tc>
        <w:tc>
          <w:tcPr>
            <w:tcW w:w="6524" w:type="dxa"/>
            <w:noWrap w:val="0"/>
            <w:vAlign w:val="top"/>
          </w:tcPr>
          <w:p w14:paraId="2E707922">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3C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7BFA3283">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项目经理</w:t>
            </w:r>
          </w:p>
        </w:tc>
        <w:tc>
          <w:tcPr>
            <w:tcW w:w="6524" w:type="dxa"/>
            <w:noWrap w:val="0"/>
            <w:vAlign w:val="top"/>
          </w:tcPr>
          <w:p w14:paraId="35CFAB3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47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230A47C9">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项目总工</w:t>
            </w:r>
          </w:p>
        </w:tc>
        <w:tc>
          <w:tcPr>
            <w:tcW w:w="6524" w:type="dxa"/>
            <w:noWrap w:val="0"/>
            <w:vAlign w:val="top"/>
          </w:tcPr>
          <w:p w14:paraId="44F95577">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3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7CC4695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总监理工程师及电话</w:t>
            </w:r>
          </w:p>
        </w:tc>
        <w:tc>
          <w:tcPr>
            <w:tcW w:w="6524" w:type="dxa"/>
            <w:noWrap w:val="0"/>
            <w:vAlign w:val="top"/>
          </w:tcPr>
          <w:p w14:paraId="1D0C250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58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1BED3BA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项目描述</w:t>
            </w:r>
          </w:p>
        </w:tc>
        <w:tc>
          <w:tcPr>
            <w:tcW w:w="6524" w:type="dxa"/>
            <w:noWrap w:val="0"/>
            <w:vAlign w:val="top"/>
          </w:tcPr>
          <w:p w14:paraId="0A7056CB">
            <w:pPr>
              <w:pageBreakBefore w:val="0"/>
              <w:kinsoku/>
              <w:wordWrap w:val="0"/>
              <w:topLinePunct/>
              <w:bidi w:val="0"/>
              <w:spacing w:line="440" w:lineRule="exact"/>
              <w:rPr>
                <w:rFonts w:hint="default" w:ascii="Times New Roman" w:hAnsi="Times New Roman" w:cs="Times New Roman"/>
                <w:sz w:val="20"/>
                <w:szCs w:val="20"/>
                <w:highlight w:val="none"/>
              </w:rPr>
            </w:pPr>
          </w:p>
          <w:p w14:paraId="2287078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22E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FF2453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w:t>
            </w:r>
          </w:p>
        </w:tc>
        <w:tc>
          <w:tcPr>
            <w:tcW w:w="6524" w:type="dxa"/>
            <w:noWrap w:val="0"/>
            <w:vAlign w:val="top"/>
          </w:tcPr>
          <w:p w14:paraId="41D8EFF5">
            <w:pPr>
              <w:pageBreakBefore w:val="0"/>
              <w:kinsoku/>
              <w:wordWrap w:val="0"/>
              <w:topLinePunct/>
              <w:bidi w:val="0"/>
              <w:spacing w:line="440" w:lineRule="exact"/>
              <w:rPr>
                <w:rFonts w:hint="default" w:ascii="Times New Roman" w:hAnsi="Times New Roman" w:cs="Times New Roman"/>
                <w:sz w:val="20"/>
                <w:szCs w:val="20"/>
                <w:highlight w:val="none"/>
              </w:rPr>
            </w:pPr>
          </w:p>
        </w:tc>
      </w:tr>
    </w:tbl>
    <w:p w14:paraId="253F0DE9">
      <w:pPr>
        <w:pageBreakBefore w:val="0"/>
        <w:kinsoku/>
        <w:wordWrap w:val="0"/>
        <w:bidi w:val="0"/>
        <w:spacing w:line="400" w:lineRule="atLeast"/>
        <w:ind w:left="735"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注：1.每张表格只填写一个项目，并标明序号。</w:t>
      </w:r>
    </w:p>
    <w:p w14:paraId="2E5052F7">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第3.5.3项的要求在本表后附相关证明材料。</w:t>
      </w:r>
    </w:p>
    <w:p w14:paraId="5FB86221">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3.如近年来，投标人法人机构发生合法变更或重组或法人名称变更时，应提供相关部门的合法批件或其他相关证明材料来证明其所附业绩的继承性。</w:t>
      </w:r>
    </w:p>
    <w:p w14:paraId="2D5BA60C">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4.以联合体形式参与投标的，联合体各成员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前附表附录3要求及第三章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23EC503E">
      <w:pPr>
        <w:pageBreakBefore w:val="0"/>
        <w:kinsoku/>
        <w:wordWrap w:val="0"/>
        <w:bidi w:val="0"/>
        <w:spacing w:line="280" w:lineRule="exact"/>
        <w:rPr>
          <w:rFonts w:hint="default" w:ascii="Times New Roman" w:hAnsi="Times New Roman" w:eastAsia="黑体" w:cs="Times New Roman"/>
          <w:sz w:val="23"/>
          <w:szCs w:val="23"/>
          <w:highlight w:val="none"/>
        </w:rPr>
      </w:pPr>
      <w:r>
        <w:rPr>
          <w:rFonts w:hint="default" w:ascii="Times New Roman" w:hAnsi="Times New Roman" w:eastAsia="黑体" w:cs="Times New Roman"/>
          <w:sz w:val="23"/>
          <w:szCs w:val="23"/>
          <w:highlight w:val="none"/>
        </w:rPr>
        <w:br w:type="page"/>
      </w:r>
    </w:p>
    <w:p w14:paraId="793E50AA">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46" w:name="_Toc16022"/>
      <w:bookmarkStart w:id="1547" w:name="_Toc26533"/>
      <w:bookmarkStart w:id="1548" w:name="_Toc234833285"/>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五</w:t>
      </w:r>
      <w:r>
        <w:rPr>
          <w:rFonts w:hint="default" w:ascii="Times New Roman" w:hAnsi="Times New Roman" w:eastAsia="黑体" w:cs="Times New Roman"/>
          <w:b w:val="0"/>
          <w:sz w:val="24"/>
          <w:szCs w:val="24"/>
          <w:highlight w:val="none"/>
        </w:rPr>
        <w:t>）投标人的信誉情况表</w:t>
      </w:r>
      <w:bookmarkEnd w:id="1546"/>
      <w:bookmarkEnd w:id="1547"/>
    </w:p>
    <w:p w14:paraId="2856F74F">
      <w:pPr>
        <w:pageBreakBefore w:val="0"/>
        <w:kinsoku/>
        <w:wordWrap w:val="0"/>
        <w:topLinePunct/>
        <w:bidi w:val="0"/>
        <w:spacing w:line="400" w:lineRule="atLeast"/>
        <w:rPr>
          <w:rFonts w:hint="default" w:ascii="Times New Roman" w:hAnsi="Times New Roman" w:cs="Times New Roman"/>
          <w:bCs/>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429E8924">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项 目</w:t>
            </w:r>
          </w:p>
        </w:tc>
        <w:tc>
          <w:tcPr>
            <w:tcW w:w="4261" w:type="dxa"/>
            <w:noWrap w:val="0"/>
            <w:vAlign w:val="center"/>
          </w:tcPr>
          <w:p w14:paraId="440EDBAB">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投标人情况说明</w:t>
            </w:r>
          </w:p>
        </w:tc>
      </w:tr>
      <w:tr w14:paraId="48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41E0B28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56EC4DD7">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C9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1FB15F">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9D5F225">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25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778CC3E6">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247C67A">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5A8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7BE4F63">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D2359C4">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BF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F20ED1">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89F2746">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9F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1E25C4B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580599F">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3D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418E4B">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779874E">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6A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7F3E49E">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73D0CE9C">
            <w:pPr>
              <w:pageBreakBefore w:val="0"/>
              <w:kinsoku/>
              <w:wordWrap w:val="0"/>
              <w:topLinePunct/>
              <w:bidi w:val="0"/>
              <w:spacing w:line="400" w:lineRule="atLeast"/>
              <w:rPr>
                <w:rFonts w:hint="default" w:ascii="Times New Roman" w:hAnsi="Times New Roman" w:cs="Times New Roman"/>
                <w:bCs/>
                <w:sz w:val="20"/>
                <w:szCs w:val="20"/>
                <w:highlight w:val="none"/>
              </w:rPr>
            </w:pPr>
          </w:p>
        </w:tc>
      </w:tr>
    </w:tbl>
    <w:p w14:paraId="73B4FD3C">
      <w:pPr>
        <w:pageBreakBefore w:val="0"/>
        <w:kinsoku/>
        <w:wordWrap w:val="0"/>
        <w:bidi w:val="0"/>
        <w:spacing w:line="400" w:lineRule="atLeast"/>
        <w:ind w:left="420" w:hanging="420" w:hangingChars="200"/>
        <w:rPr>
          <w:rFonts w:hint="default" w:ascii="Times New Roman" w:hAnsi="Times New Roman" w:cs="Times New Roman"/>
          <w:szCs w:val="21"/>
          <w:highlight w:val="none"/>
        </w:rPr>
      </w:pPr>
      <w:r>
        <w:rPr>
          <w:rFonts w:hint="default" w:ascii="Times New Roman" w:hAnsi="Times New Roman" w:cs="Times New Roman"/>
          <w:szCs w:val="21"/>
          <w:highlight w:val="none"/>
        </w:rPr>
        <w:t>注：1.投标人应按照招标文件第二章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前附表附录4和</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正文第1.4.4项规定，逐条说明其信誉情况。</w:t>
      </w:r>
      <w:bookmarkEnd w:id="1548"/>
    </w:p>
    <w:p w14:paraId="2672C84B">
      <w:pPr>
        <w:pageBreakBefore w:val="0"/>
        <w:kinsoku/>
        <w:wordWrap w:val="0"/>
        <w:bidi w:val="0"/>
        <w:spacing w:line="400" w:lineRule="atLeast"/>
        <w:ind w:firstLine="420" w:firstLineChars="200"/>
        <w:rPr>
          <w:rFonts w:hint="default" w:ascii="Times New Roman" w:hAnsi="Times New Roman" w:cs="Times New Roman"/>
          <w:szCs w:val="21"/>
          <w:highlight w:val="none"/>
        </w:rPr>
      </w:pPr>
      <w:bookmarkStart w:id="1549" w:name="_Hlk493477915"/>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第3.5.4项的要求在本表后附相关证明材料。</w:t>
      </w:r>
      <w:bookmarkEnd w:id="1549"/>
    </w:p>
    <w:p w14:paraId="0AA48446">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3.以联合体形式参与投标的，联合体各成员应分别填写。</w:t>
      </w:r>
    </w:p>
    <w:p w14:paraId="6D96C75E">
      <w:pPr>
        <w:pStyle w:val="2"/>
        <w:pageBreakBefore w:val="0"/>
        <w:kinsoku/>
        <w:wordWrap w:val="0"/>
        <w:bidi w:val="0"/>
        <w:spacing w:before="0" w:after="0" w:line="380" w:lineRule="atLeast"/>
        <w:jc w:val="center"/>
        <w:rPr>
          <w:rFonts w:hint="default" w:ascii="Times New Roman" w:hAnsi="Times New Roman" w:cs="Times New Roman"/>
          <w:b w:val="0"/>
          <w:bCs w:val="0"/>
          <w:kern w:val="2"/>
          <w:sz w:val="21"/>
          <w:szCs w:val="21"/>
          <w:highlight w:val="none"/>
          <w:lang w:val="en-US" w:eastAsia="zh-CN"/>
        </w:rPr>
        <w:sectPr>
          <w:headerReference r:id="rId54" w:type="default"/>
          <w:footerReference r:id="rId55"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294B8B7E">
      <w:pPr>
        <w:keepNext/>
        <w:keepLines/>
        <w:spacing w:before="80" w:after="64"/>
        <w:ind w:firstLine="566"/>
        <w:jc w:val="center"/>
        <w:rPr>
          <w:rFonts w:hint="default" w:ascii="Times New Roman" w:hAnsi="Times New Roman" w:eastAsia="黑体" w:cs="Times New Roman"/>
          <w:bCs/>
          <w:kern w:val="0"/>
          <w:sz w:val="28"/>
          <w:szCs w:val="28"/>
          <w:highlight w:val="none"/>
          <w:lang w:val="zh-CN" w:bidi="zh-CN"/>
        </w:rPr>
      </w:pPr>
      <w:r>
        <w:rPr>
          <w:rFonts w:hint="default" w:ascii="Times New Roman" w:hAnsi="Times New Roman" w:eastAsia="黑体" w:cs="Times New Roman"/>
          <w:bCs/>
          <w:kern w:val="0"/>
          <w:sz w:val="28"/>
          <w:szCs w:val="28"/>
          <w:highlight w:val="none"/>
          <w:lang w:val="zh-CN" w:bidi="zh-CN"/>
        </w:rPr>
        <w:t>无行贿犯罪行为承诺函（格式）</w:t>
      </w:r>
    </w:p>
    <w:p w14:paraId="08FD9F76">
      <w:pPr>
        <w:spacing w:line="360" w:lineRule="auto"/>
        <w:ind w:firstLine="480" w:firstLineChars="200"/>
        <w:rPr>
          <w:rFonts w:hint="default" w:ascii="Times New Roman" w:hAnsi="Times New Roman" w:cs="Times New Roman"/>
          <w:sz w:val="24"/>
          <w:szCs w:val="22"/>
          <w:highlight w:val="none"/>
        </w:rPr>
      </w:pPr>
    </w:p>
    <w:p w14:paraId="230B9A25">
      <w:pPr>
        <w:spacing w:line="360" w:lineRule="auto"/>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致：</w:t>
      </w:r>
      <w:r>
        <w:rPr>
          <w:rFonts w:hint="default" w:ascii="Times New Roman" w:hAnsi="Times New Roman" w:cs="Times New Roman"/>
          <w:sz w:val="24"/>
          <w:szCs w:val="22"/>
          <w:highlight w:val="none"/>
          <w:u w:val="single"/>
        </w:rPr>
        <w:t xml:space="preserve">  （招标人全称）  </w:t>
      </w:r>
      <w:r>
        <w:rPr>
          <w:rFonts w:hint="default" w:ascii="Times New Roman" w:hAnsi="Times New Roman" w:cs="Times New Roman"/>
          <w:sz w:val="24"/>
          <w:szCs w:val="22"/>
          <w:highlight w:val="none"/>
        </w:rPr>
        <w:t>：</w:t>
      </w:r>
    </w:p>
    <w:p w14:paraId="4B5F18ED">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我单位承诺：在近三年内（</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年</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月</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日至投标文件递交截止日），</w:t>
      </w:r>
      <w:r>
        <w:rPr>
          <w:rFonts w:hint="default" w:ascii="Times New Roman" w:hAnsi="Times New Roman" w:cs="Times New Roman"/>
          <w:sz w:val="24"/>
          <w:szCs w:val="22"/>
          <w:highlight w:val="none"/>
          <w:u w:val="single"/>
        </w:rPr>
        <w:t xml:space="preserve">  （投标人单位名称及统一社会信用代码）  </w:t>
      </w:r>
      <w:r>
        <w:rPr>
          <w:rFonts w:hint="default" w:ascii="Times New Roman" w:hAnsi="Times New Roman" w:cs="Times New Roman"/>
          <w:sz w:val="24"/>
          <w:szCs w:val="22"/>
          <w:highlight w:val="none"/>
        </w:rPr>
        <w:t>及法定代表人</w:t>
      </w:r>
      <w:r>
        <w:rPr>
          <w:rFonts w:hint="default" w:ascii="Times New Roman" w:hAnsi="Times New Roman" w:cs="Times New Roman"/>
          <w:sz w:val="24"/>
          <w:szCs w:val="22"/>
          <w:highlight w:val="none"/>
          <w:u w:val="single"/>
        </w:rPr>
        <w:t xml:space="preserve">  （法定代表人姓名及身份证号码）  </w:t>
      </w:r>
      <w:r>
        <w:rPr>
          <w:rFonts w:hint="default" w:ascii="Times New Roman" w:hAnsi="Times New Roman" w:cs="Times New Roman"/>
          <w:sz w:val="24"/>
          <w:szCs w:val="22"/>
          <w:highlight w:val="none"/>
        </w:rPr>
        <w:t>、拟委任的项目</w:t>
      </w:r>
      <w:r>
        <w:rPr>
          <w:rFonts w:hint="default" w:ascii="Times New Roman" w:hAnsi="Times New Roman" w:cs="Times New Roman"/>
          <w:sz w:val="24"/>
          <w:szCs w:val="22"/>
          <w:highlight w:val="none"/>
          <w:lang w:val="en-US" w:eastAsia="zh-CN"/>
        </w:rPr>
        <w:t>经理</w:t>
      </w:r>
      <w:r>
        <w:rPr>
          <w:rFonts w:hint="default" w:ascii="Times New Roman" w:hAnsi="Times New Roman" w:cs="Times New Roman"/>
          <w:sz w:val="24"/>
          <w:szCs w:val="22"/>
          <w:highlight w:val="none"/>
          <w:u w:val="single"/>
        </w:rPr>
        <w:t xml:space="preserve">   （项目</w:t>
      </w:r>
      <w:r>
        <w:rPr>
          <w:rFonts w:hint="default" w:ascii="Times New Roman" w:hAnsi="Times New Roman" w:cs="Times New Roman"/>
          <w:sz w:val="24"/>
          <w:szCs w:val="22"/>
          <w:highlight w:val="none"/>
          <w:u w:val="single"/>
          <w:lang w:val="en-US" w:eastAsia="zh-CN"/>
        </w:rPr>
        <w:t>经理</w:t>
      </w:r>
      <w:r>
        <w:rPr>
          <w:rFonts w:hint="default" w:ascii="Times New Roman" w:hAnsi="Times New Roman" w:cs="Times New Roman"/>
          <w:sz w:val="24"/>
          <w:szCs w:val="22"/>
          <w:highlight w:val="none"/>
          <w:u w:val="single"/>
        </w:rPr>
        <w:t xml:space="preserve">姓名及身份证号码）   </w:t>
      </w:r>
      <w:r>
        <w:rPr>
          <w:rFonts w:hint="default" w:ascii="Times New Roman" w:hAnsi="Times New Roman" w:cs="Times New Roman"/>
          <w:sz w:val="24"/>
          <w:szCs w:val="22"/>
          <w:highlight w:val="none"/>
        </w:rPr>
        <w:t>均无行贿犯罪行为。</w:t>
      </w:r>
    </w:p>
    <w:p w14:paraId="2CB03A0C">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39A913B4">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特此承诺！</w:t>
      </w:r>
    </w:p>
    <w:p w14:paraId="01427C85">
      <w:pPr>
        <w:spacing w:line="360" w:lineRule="auto"/>
        <w:ind w:firstLine="480" w:firstLineChars="200"/>
        <w:rPr>
          <w:rFonts w:hint="default" w:ascii="Times New Roman" w:hAnsi="Times New Roman" w:cs="Times New Roman"/>
          <w:sz w:val="24"/>
          <w:szCs w:val="22"/>
          <w:highlight w:val="none"/>
        </w:rPr>
      </w:pPr>
    </w:p>
    <w:p w14:paraId="74CFB62C">
      <w:pPr>
        <w:spacing w:line="360" w:lineRule="auto"/>
        <w:ind w:firstLine="480" w:firstLineChars="200"/>
        <w:rPr>
          <w:rFonts w:hint="default" w:ascii="Times New Roman" w:hAnsi="Times New Roman" w:cs="Times New Roman"/>
          <w:sz w:val="24"/>
          <w:szCs w:val="22"/>
          <w:highlight w:val="none"/>
        </w:rPr>
      </w:pPr>
    </w:p>
    <w:p w14:paraId="40F5A114">
      <w:pPr>
        <w:spacing w:line="360" w:lineRule="auto"/>
        <w:ind w:left="2520" w:leftChars="1200" w:firstLine="1920" w:firstLineChars="800"/>
        <w:rPr>
          <w:rFonts w:hint="default" w:ascii="Times New Roman" w:hAnsi="Times New Roman" w:cs="Times New Roman"/>
          <w:sz w:val="24"/>
          <w:szCs w:val="22"/>
          <w:highlight w:val="none"/>
        </w:rPr>
      </w:pPr>
    </w:p>
    <w:p w14:paraId="1B029408">
      <w:pPr>
        <w:wordWrap w:val="0"/>
        <w:topLinePunct/>
        <w:spacing w:line="440" w:lineRule="exact"/>
        <w:rPr>
          <w:rFonts w:hint="default" w:ascii="Times New Roman" w:hAnsi="Times New Roman" w:cs="Times New Roman"/>
          <w:sz w:val="24"/>
          <w:szCs w:val="24"/>
          <w:highlight w:val="none"/>
        </w:rPr>
      </w:pPr>
      <w:r>
        <w:rPr>
          <w:rFonts w:hint="default" w:ascii="Times New Roman" w:hAnsi="Times New Roman" w:cs="Times New Roman"/>
          <w:sz w:val="24"/>
          <w:szCs w:val="22"/>
          <w:highlight w:val="none"/>
        </w:rPr>
        <w:t xml:space="preserve">                       </w:t>
      </w:r>
      <w:r>
        <w:rPr>
          <w:rFonts w:hint="default" w:ascii="Times New Roman" w:hAnsi="Times New Roman" w:cs="Times New Roman"/>
          <w:sz w:val="24"/>
          <w:szCs w:val="24"/>
          <w:highlight w:val="none"/>
        </w:rPr>
        <w:t xml:space="preserve">   投标人：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（全称）</w:t>
      </w:r>
      <w:r>
        <w:rPr>
          <w:rFonts w:hint="default" w:ascii="Times New Roman" w:hAnsi="Times New Roman" w:cs="Times New Roman"/>
          <w:sz w:val="24"/>
          <w:szCs w:val="24"/>
          <w:highlight w:val="none"/>
          <w:u w:val="none"/>
        </w:rPr>
        <w:t>（</w:t>
      </w:r>
      <w:r>
        <w:rPr>
          <w:rFonts w:hint="default" w:ascii="Times New Roman" w:hAnsi="Times New Roman" w:cs="Times New Roman"/>
          <w:sz w:val="24"/>
          <w:szCs w:val="24"/>
          <w:highlight w:val="none"/>
          <w:u w:val="none"/>
          <w:lang w:val="en-US" w:eastAsia="zh-CN"/>
        </w:rPr>
        <w:t>盖单位电子印章</w:t>
      </w:r>
      <w:r>
        <w:rPr>
          <w:rFonts w:hint="default" w:ascii="Times New Roman" w:hAnsi="Times New Roman" w:cs="Times New Roman"/>
          <w:sz w:val="24"/>
          <w:szCs w:val="24"/>
          <w:highlight w:val="none"/>
          <w:u w:val="none"/>
        </w:rPr>
        <w:t>）</w:t>
      </w:r>
    </w:p>
    <w:p w14:paraId="4DFBD478">
      <w:pPr>
        <w:spacing w:line="360" w:lineRule="auto"/>
        <w:ind w:left="2520" w:leftChars="1200" w:firstLine="1920" w:firstLineChars="800"/>
        <w:rPr>
          <w:rFonts w:hint="default" w:ascii="Times New Roman" w:hAnsi="Times New Roman" w:cs="Times New Roman"/>
          <w:sz w:val="24"/>
          <w:szCs w:val="24"/>
          <w:highlight w:val="none"/>
        </w:rPr>
      </w:pPr>
    </w:p>
    <w:p w14:paraId="0DA887AF">
      <w:pPr>
        <w:spacing w:line="360" w:lineRule="auto"/>
        <w:ind w:left="2520" w:leftChars="1200" w:firstLine="1920" w:firstLineChars="800"/>
        <w:rPr>
          <w:rFonts w:hint="default" w:ascii="Times New Roman" w:hAnsi="Times New Roman" w:cs="Times New Roman"/>
          <w:sz w:val="24"/>
          <w:szCs w:val="22"/>
          <w:highlight w:val="none"/>
        </w:rPr>
      </w:pPr>
      <w:r>
        <w:rPr>
          <w:rFonts w:hint="default" w:ascii="Times New Roman" w:hAnsi="Times New Roman" w:cs="Times New Roman"/>
          <w:sz w:val="24"/>
          <w:szCs w:val="24"/>
          <w:highlight w:val="none"/>
        </w:rPr>
        <w:t>日期：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706734AF">
      <w:pPr>
        <w:pStyle w:val="16"/>
        <w:rPr>
          <w:rFonts w:hint="default" w:ascii="Times New Roman" w:hAnsi="Times New Roman" w:cs="Times New Roman"/>
          <w:highlight w:val="none"/>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3AE742F0">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50" w:name="_Toc24695"/>
      <w:bookmarkStart w:id="1551" w:name="_Toc24704"/>
      <w:r>
        <w:rPr>
          <w:rFonts w:hint="default" w:ascii="Times New Roman" w:hAnsi="Times New Roman" w:eastAsia="黑体" w:cs="Times New Roman"/>
          <w:b w:val="0"/>
          <w:sz w:val="24"/>
          <w:szCs w:val="24"/>
          <w:highlight w:val="none"/>
        </w:rPr>
        <w:t>（六）拟委任的项目经理和项目总工资历表</w:t>
      </w:r>
      <w:bookmarkEnd w:id="1542"/>
      <w:bookmarkEnd w:id="1550"/>
      <w:bookmarkEnd w:id="1551"/>
    </w:p>
    <w:p w14:paraId="5197014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9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383C8C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noWrap w:val="0"/>
            <w:vAlign w:val="center"/>
          </w:tcPr>
          <w:p w14:paraId="3F9E99F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3E0331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noWrap w:val="0"/>
            <w:vAlign w:val="top"/>
          </w:tcPr>
          <w:p w14:paraId="6AAFC50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794AF22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noWrap w:val="0"/>
            <w:vAlign w:val="top"/>
          </w:tcPr>
          <w:p w14:paraId="078765C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5C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0A433B6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noWrap w:val="0"/>
            <w:vAlign w:val="center"/>
          </w:tcPr>
          <w:p w14:paraId="0D00C09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000605E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noWrap w:val="0"/>
            <w:vAlign w:val="top"/>
          </w:tcPr>
          <w:p w14:paraId="14BB6C5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08FDBFA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5D3B6A5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noWrap w:val="0"/>
            <w:vAlign w:val="top"/>
          </w:tcPr>
          <w:p w14:paraId="348EA0A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4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6A7D2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1024C69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2DAFEF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69973FB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0E2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0576C9D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19E7815E">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0C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614F8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C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65931E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365EDA4">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300C056F">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182D4B2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7361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D682F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EB52B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EADF08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E6EE8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48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1A7DDF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A8161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6C8774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6267CE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DD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BFA06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9C8F2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F11C1E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79268A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1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4B5A4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7E5DCCC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C1AA1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9E8D9B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20D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075506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DB8FC1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6DE8EE5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A36C29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D7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3CFFA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27583F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37817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65936A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41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C5450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EDF282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109436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1CF0FC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F5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8BD5A5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AC8580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974571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C9CE1F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E5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7849B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3FF78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A3F1D4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47A54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74F9502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19C7934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B0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1DFA33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32D0786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7D1350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1BF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EEF871D">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3A0E02C4">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7616468">
      <w:pPr>
        <w:pStyle w:val="17"/>
        <w:pageBreakBefore w:val="0"/>
        <w:kinsoku/>
        <w:wordWrap w:val="0"/>
        <w:bidi w:val="0"/>
        <w:spacing w:after="0" w:line="400" w:lineRule="atLeast"/>
        <w:ind w:left="699" w:leftChars="0" w:hanging="699" w:hangingChars="333"/>
        <w:rPr>
          <w:rFonts w:hint="default" w:ascii="Times New Roman" w:hAnsi="Times New Roman" w:cs="Times New Roman"/>
          <w:highlight w:val="none"/>
        </w:rPr>
      </w:pPr>
      <w:r>
        <w:rPr>
          <w:rFonts w:hint="default" w:ascii="Times New Roman" w:hAnsi="Times New Roman" w:cs="Times New Roman"/>
          <w:highlight w:val="none"/>
        </w:rPr>
        <w:t>注：1.本表应填写项目经理和项目总工相关情况。</w:t>
      </w:r>
    </w:p>
    <w:p w14:paraId="7A3146F1">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2.投标人应根据招标文件第二章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第3.5.5项的要求在本表后附相关证明材料。</w:t>
      </w:r>
    </w:p>
    <w:p w14:paraId="02F9F5F1">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52" w:name="_Toc234833286"/>
      <w:bookmarkStart w:id="1553" w:name="_Toc15670"/>
      <w:bookmarkStart w:id="1554" w:name="_Toc31792"/>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七</w:t>
      </w:r>
      <w:r>
        <w:rPr>
          <w:rFonts w:hint="default" w:ascii="Times New Roman" w:hAnsi="Times New Roman" w:eastAsia="黑体" w:cs="Times New Roman"/>
          <w:b w:val="0"/>
          <w:sz w:val="24"/>
          <w:szCs w:val="24"/>
          <w:highlight w:val="none"/>
        </w:rPr>
        <w:t>）拟委任的其他管理和技术人员汇总表</w:t>
      </w:r>
      <w:r>
        <w:rPr>
          <w:rFonts w:hint="default" w:ascii="Times New Roman" w:hAnsi="Times New Roman" w:eastAsia="黑体" w:cs="Times New Roman"/>
          <w:b w:val="0"/>
          <w:sz w:val="24"/>
          <w:szCs w:val="24"/>
          <w:highlight w:val="none"/>
          <w:vertAlign w:val="superscript"/>
        </w:rPr>
        <w:footnoteReference w:id="39"/>
      </w:r>
      <w:bookmarkEnd w:id="1552"/>
      <w:bookmarkEnd w:id="1553"/>
      <w:bookmarkEnd w:id="1554"/>
    </w:p>
    <w:p w14:paraId="2B85659C">
      <w:pPr>
        <w:pageBreakBefore w:val="0"/>
        <w:kinsoku/>
        <w:wordWrap w:val="0"/>
        <w:bidi w:val="0"/>
        <w:spacing w:line="400" w:lineRule="atLeast"/>
        <w:rPr>
          <w:rFonts w:hint="default" w:ascii="Times New Roman" w:hAnsi="Times New Roman" w:cs="Times New Roman"/>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75A4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609A804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926" w:type="dxa"/>
            <w:noWrap w:val="0"/>
            <w:vAlign w:val="center"/>
          </w:tcPr>
          <w:p w14:paraId="30F0C3C3">
            <w:pPr>
              <w:pStyle w:val="76"/>
              <w:pageBreakBefore w:val="0"/>
              <w:kinsoku/>
              <w:wordWrap w:val="0"/>
              <w:autoSpaceDE/>
              <w:autoSpaceDN/>
              <w:bidi w:val="0"/>
              <w:adjustRightInd/>
              <w:snapToGrid/>
              <w:spacing w:line="400" w:lineRule="atLeast"/>
              <w:textAlignment w:val="auto"/>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年龄</w:t>
            </w:r>
          </w:p>
        </w:tc>
        <w:tc>
          <w:tcPr>
            <w:tcW w:w="2682" w:type="dxa"/>
            <w:noWrap w:val="0"/>
            <w:vAlign w:val="center"/>
          </w:tcPr>
          <w:p w14:paraId="789699A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拟在本标段工程任职</w:t>
            </w:r>
          </w:p>
        </w:tc>
        <w:tc>
          <w:tcPr>
            <w:tcW w:w="1101" w:type="dxa"/>
            <w:noWrap w:val="0"/>
            <w:vAlign w:val="center"/>
          </w:tcPr>
          <w:p w14:paraId="1F95421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307" w:type="dxa"/>
            <w:noWrap w:val="0"/>
            <w:vAlign w:val="center"/>
          </w:tcPr>
          <w:p w14:paraId="42730FF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1942" w:type="dxa"/>
            <w:noWrap w:val="0"/>
            <w:vAlign w:val="center"/>
          </w:tcPr>
          <w:p w14:paraId="7AD6BCA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r>
      <w:tr w14:paraId="7E5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1320EE0B">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1A4BC4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2A0D075">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395017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5E6A1078">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99A4749">
            <w:pPr>
              <w:pageBreakBefore w:val="0"/>
              <w:kinsoku/>
              <w:wordWrap w:val="0"/>
              <w:bidi w:val="0"/>
              <w:spacing w:line="400" w:lineRule="atLeast"/>
              <w:jc w:val="center"/>
              <w:rPr>
                <w:rFonts w:hint="default" w:ascii="Times New Roman" w:hAnsi="Times New Roman" w:cs="Times New Roman"/>
                <w:highlight w:val="none"/>
              </w:rPr>
            </w:pPr>
          </w:p>
        </w:tc>
      </w:tr>
      <w:tr w14:paraId="349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5F320622">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E1769AE">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62B4DDA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75E03B3E">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5DB604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1A30AB1">
            <w:pPr>
              <w:pageBreakBefore w:val="0"/>
              <w:kinsoku/>
              <w:wordWrap w:val="0"/>
              <w:bidi w:val="0"/>
              <w:spacing w:line="400" w:lineRule="atLeast"/>
              <w:jc w:val="center"/>
              <w:rPr>
                <w:rFonts w:hint="default" w:ascii="Times New Roman" w:hAnsi="Times New Roman" w:cs="Times New Roman"/>
                <w:highlight w:val="none"/>
              </w:rPr>
            </w:pPr>
          </w:p>
        </w:tc>
      </w:tr>
      <w:tr w14:paraId="052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6F87184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EFB672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C27305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21A7B0C">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BEA3A6F">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D2FE0E2">
            <w:pPr>
              <w:pageBreakBefore w:val="0"/>
              <w:kinsoku/>
              <w:wordWrap w:val="0"/>
              <w:bidi w:val="0"/>
              <w:spacing w:line="400" w:lineRule="atLeast"/>
              <w:jc w:val="center"/>
              <w:rPr>
                <w:rFonts w:hint="default" w:ascii="Times New Roman" w:hAnsi="Times New Roman" w:cs="Times New Roman"/>
                <w:highlight w:val="none"/>
              </w:rPr>
            </w:pPr>
          </w:p>
        </w:tc>
      </w:tr>
      <w:tr w14:paraId="6CC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AB6907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AAAAB0">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25E7CE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0564BA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384C794">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8232C82">
            <w:pPr>
              <w:pageBreakBefore w:val="0"/>
              <w:kinsoku/>
              <w:wordWrap w:val="0"/>
              <w:bidi w:val="0"/>
              <w:spacing w:line="400" w:lineRule="atLeast"/>
              <w:jc w:val="center"/>
              <w:rPr>
                <w:rFonts w:hint="default" w:ascii="Times New Roman" w:hAnsi="Times New Roman" w:cs="Times New Roman"/>
                <w:highlight w:val="none"/>
              </w:rPr>
            </w:pPr>
          </w:p>
        </w:tc>
      </w:tr>
      <w:tr w14:paraId="0F2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0F7D8A3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4F93F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04C2E4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6EB7CB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0008B70">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6E25276">
            <w:pPr>
              <w:pageBreakBefore w:val="0"/>
              <w:kinsoku/>
              <w:wordWrap w:val="0"/>
              <w:bidi w:val="0"/>
              <w:spacing w:line="400" w:lineRule="atLeast"/>
              <w:jc w:val="center"/>
              <w:rPr>
                <w:rFonts w:hint="default" w:ascii="Times New Roman" w:hAnsi="Times New Roman" w:cs="Times New Roman"/>
                <w:highlight w:val="none"/>
              </w:rPr>
            </w:pPr>
          </w:p>
        </w:tc>
      </w:tr>
      <w:tr w14:paraId="6F7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18A72A8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1B6D7B4">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DEF6058">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AD6829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AA7B2B9">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5B791C3">
            <w:pPr>
              <w:pageBreakBefore w:val="0"/>
              <w:kinsoku/>
              <w:wordWrap w:val="0"/>
              <w:bidi w:val="0"/>
              <w:spacing w:line="400" w:lineRule="atLeast"/>
              <w:jc w:val="center"/>
              <w:rPr>
                <w:rFonts w:hint="default" w:ascii="Times New Roman" w:hAnsi="Times New Roman" w:cs="Times New Roman"/>
                <w:highlight w:val="none"/>
              </w:rPr>
            </w:pPr>
          </w:p>
        </w:tc>
      </w:tr>
      <w:tr w14:paraId="744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64A200CA">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ADC3BF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1252D2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B036EF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238A6A8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4D77277C">
            <w:pPr>
              <w:pageBreakBefore w:val="0"/>
              <w:kinsoku/>
              <w:wordWrap w:val="0"/>
              <w:bidi w:val="0"/>
              <w:spacing w:line="400" w:lineRule="atLeast"/>
              <w:jc w:val="center"/>
              <w:rPr>
                <w:rFonts w:hint="default" w:ascii="Times New Roman" w:hAnsi="Times New Roman" w:cs="Times New Roman"/>
                <w:highlight w:val="none"/>
              </w:rPr>
            </w:pPr>
          </w:p>
        </w:tc>
      </w:tr>
      <w:tr w14:paraId="0BA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4C42885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B97C8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73CC2B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9D08D9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25A3F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5804C1FB">
            <w:pPr>
              <w:pageBreakBefore w:val="0"/>
              <w:kinsoku/>
              <w:wordWrap w:val="0"/>
              <w:bidi w:val="0"/>
              <w:spacing w:line="400" w:lineRule="atLeast"/>
              <w:jc w:val="center"/>
              <w:rPr>
                <w:rFonts w:hint="default" w:ascii="Times New Roman" w:hAnsi="Times New Roman" w:cs="Times New Roman"/>
                <w:highlight w:val="none"/>
              </w:rPr>
            </w:pPr>
          </w:p>
        </w:tc>
      </w:tr>
      <w:tr w14:paraId="3CC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ACCA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478C76A2">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9755363">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39AC3BE0">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C587DB7">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83E8405">
            <w:pPr>
              <w:pageBreakBefore w:val="0"/>
              <w:kinsoku/>
              <w:wordWrap w:val="0"/>
              <w:bidi w:val="0"/>
              <w:spacing w:line="400" w:lineRule="atLeast"/>
              <w:jc w:val="center"/>
              <w:rPr>
                <w:rFonts w:hint="default" w:ascii="Times New Roman" w:hAnsi="Times New Roman" w:cs="Times New Roman"/>
                <w:highlight w:val="none"/>
              </w:rPr>
            </w:pPr>
          </w:p>
        </w:tc>
      </w:tr>
      <w:tr w14:paraId="35C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9229B6C">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497DF23">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526EBBC">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7440EB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AD362DE">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5925143">
            <w:pPr>
              <w:pageBreakBefore w:val="0"/>
              <w:kinsoku/>
              <w:wordWrap w:val="0"/>
              <w:bidi w:val="0"/>
              <w:spacing w:line="400" w:lineRule="atLeast"/>
              <w:jc w:val="center"/>
              <w:rPr>
                <w:rFonts w:hint="default" w:ascii="Times New Roman" w:hAnsi="Times New Roman" w:cs="Times New Roman"/>
                <w:highlight w:val="none"/>
              </w:rPr>
            </w:pPr>
          </w:p>
        </w:tc>
      </w:tr>
      <w:tr w14:paraId="7A6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241E40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699AEFD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3854116">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FE198B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E954F2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66A920AD">
            <w:pPr>
              <w:pageBreakBefore w:val="0"/>
              <w:kinsoku/>
              <w:wordWrap w:val="0"/>
              <w:bidi w:val="0"/>
              <w:spacing w:line="400" w:lineRule="atLeast"/>
              <w:jc w:val="center"/>
              <w:rPr>
                <w:rFonts w:hint="default" w:ascii="Times New Roman" w:hAnsi="Times New Roman" w:cs="Times New Roman"/>
                <w:highlight w:val="none"/>
              </w:rPr>
            </w:pPr>
          </w:p>
        </w:tc>
      </w:tr>
      <w:tr w14:paraId="7A0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31F78543">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1D2B1A">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CE688B0">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E43ADCF">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E2457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0A6C9FFC">
            <w:pPr>
              <w:pageBreakBefore w:val="0"/>
              <w:kinsoku/>
              <w:wordWrap w:val="0"/>
              <w:bidi w:val="0"/>
              <w:spacing w:line="400" w:lineRule="atLeast"/>
              <w:jc w:val="center"/>
              <w:rPr>
                <w:rFonts w:hint="default" w:ascii="Times New Roman" w:hAnsi="Times New Roman" w:cs="Times New Roman"/>
                <w:highlight w:val="none"/>
              </w:rPr>
            </w:pPr>
          </w:p>
        </w:tc>
      </w:tr>
      <w:tr w14:paraId="3B8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99567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BD53871">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01846B9">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D5E29D1">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56FD41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86D7F96">
            <w:pPr>
              <w:pageBreakBefore w:val="0"/>
              <w:kinsoku/>
              <w:wordWrap w:val="0"/>
              <w:bidi w:val="0"/>
              <w:spacing w:line="400" w:lineRule="atLeast"/>
              <w:jc w:val="center"/>
              <w:rPr>
                <w:rFonts w:hint="default" w:ascii="Times New Roman" w:hAnsi="Times New Roman" w:cs="Times New Roman"/>
                <w:highlight w:val="none"/>
              </w:rPr>
            </w:pPr>
          </w:p>
        </w:tc>
      </w:tr>
    </w:tbl>
    <w:p w14:paraId="27889DDD">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注：本表填报的人员应满足招标文件第二章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前附表附录6的要求。</w:t>
      </w:r>
    </w:p>
    <w:p w14:paraId="3A1B086A">
      <w:pPr>
        <w:pageBreakBefore w:val="0"/>
        <w:kinsoku/>
        <w:wordWrap w:val="0"/>
        <w:bidi w:val="0"/>
        <w:spacing w:line="400" w:lineRule="atLeas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br w:type="page"/>
      </w:r>
    </w:p>
    <w:p w14:paraId="770DCDB5">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55" w:name="_Toc330"/>
      <w:bookmarkStart w:id="1556" w:name="_Toc234833287"/>
      <w:bookmarkStart w:id="1557" w:name="_Toc31833"/>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八</w:t>
      </w:r>
      <w:r>
        <w:rPr>
          <w:rFonts w:hint="default" w:ascii="Times New Roman" w:hAnsi="Times New Roman" w:eastAsia="黑体" w:cs="Times New Roman"/>
          <w:b w:val="0"/>
          <w:sz w:val="24"/>
          <w:szCs w:val="24"/>
          <w:highlight w:val="none"/>
        </w:rPr>
        <w:t>）拟委任的其他管理和技术人员资历表</w:t>
      </w:r>
      <w:r>
        <w:rPr>
          <w:rFonts w:hint="default" w:ascii="Times New Roman" w:hAnsi="Times New Roman" w:eastAsia="黑体" w:cs="Times New Roman"/>
          <w:b w:val="0"/>
          <w:sz w:val="24"/>
          <w:szCs w:val="24"/>
          <w:highlight w:val="none"/>
          <w:vertAlign w:val="superscript"/>
        </w:rPr>
        <w:footnoteReference w:id="40"/>
      </w:r>
      <w:bookmarkEnd w:id="1555"/>
      <w:bookmarkEnd w:id="1556"/>
      <w:bookmarkEnd w:id="1557"/>
    </w:p>
    <w:p w14:paraId="38C711E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6EC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C341C7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871F7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723F3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2292038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15214A1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6334F82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6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3BB092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C12C46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C1006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157F2DD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7D23B8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23ED3B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310DD5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12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54DFE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2FF7B2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40BDC2B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73C199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FB1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509538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200617C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3E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561510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72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49799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ED24F45">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2221A334">
            <w:pPr>
              <w:pStyle w:val="7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7054178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308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9327B3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E8A60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CC8C69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D62C12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2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1A705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157A8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8E8D3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B36095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2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AA9D80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14DB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F8D25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DA15F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70D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26FD70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E185D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1B1048B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433308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7E2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30824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04D5760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7B47B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3A3E3D0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83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0BA6C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60F23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F47426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5A894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97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2118F8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FDD159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5A23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30171F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8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200D7A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3D4BC79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C6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2BE2C241">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6A619DF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41DBDAF0">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24B9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48E851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78695E1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3180134">
      <w:pPr>
        <w:pStyle w:val="17"/>
        <w:pageBreakBefore w:val="0"/>
        <w:kinsoku/>
        <w:wordWrap w:val="0"/>
        <w:bidi w:val="0"/>
        <w:spacing w:after="0" w:line="400" w:lineRule="atLeast"/>
        <w:ind w:left="588" w:leftChars="0" w:right="-61" w:rightChars="-29" w:hanging="588" w:hangingChars="280"/>
        <w:rPr>
          <w:rFonts w:hint="default" w:ascii="Times New Roman" w:hAnsi="Times New Roman" w:cs="Times New Roman"/>
          <w:szCs w:val="21"/>
          <w:highlight w:val="none"/>
        </w:rPr>
      </w:pPr>
      <w:r>
        <w:rPr>
          <w:rFonts w:hint="default" w:ascii="Times New Roman" w:hAnsi="Times New Roman" w:cs="Times New Roman"/>
          <w:szCs w:val="21"/>
          <w:highlight w:val="none"/>
        </w:rPr>
        <w:t>注：1.本表人员应与表（七）中所列人员相一致。</w:t>
      </w:r>
    </w:p>
    <w:p w14:paraId="68E447CF">
      <w:pPr>
        <w:pStyle w:val="17"/>
        <w:pageBreakBefore w:val="0"/>
        <w:kinsoku/>
        <w:wordWrap w:val="0"/>
        <w:bidi w:val="0"/>
        <w:spacing w:after="0" w:line="40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第3.5.6项的要求在本表后附相关证明材料。</w:t>
      </w:r>
    </w:p>
    <w:p w14:paraId="0BD26C4A">
      <w:pPr>
        <w:pStyle w:val="2"/>
        <w:pageBreakBefore w:val="0"/>
        <w:kinsoku/>
        <w:wordWrap w:val="0"/>
        <w:bidi w:val="0"/>
        <w:spacing w:before="0" w:after="0" w:line="40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58" w:name="_Toc5163"/>
      <w:bookmarkStart w:id="1559" w:name="_Toc234833288"/>
      <w:bookmarkStart w:id="1560" w:name="_Toc2611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九</w:t>
      </w:r>
      <w:r>
        <w:rPr>
          <w:rFonts w:hint="default" w:ascii="Times New Roman" w:hAnsi="Times New Roman" w:eastAsia="黑体" w:cs="Times New Roman"/>
          <w:b w:val="0"/>
          <w:sz w:val="24"/>
          <w:szCs w:val="24"/>
          <w:highlight w:val="none"/>
        </w:rPr>
        <w:t>） 拟投入本标段的主要施工机械表</w:t>
      </w:r>
      <w:r>
        <w:rPr>
          <w:rFonts w:hint="default" w:ascii="Times New Roman" w:hAnsi="Times New Roman" w:eastAsia="黑体" w:cs="Times New Roman"/>
          <w:b w:val="0"/>
          <w:sz w:val="24"/>
          <w:szCs w:val="24"/>
          <w:highlight w:val="none"/>
          <w:vertAlign w:val="superscript"/>
        </w:rPr>
        <w:footnoteReference w:id="41"/>
      </w:r>
      <w:bookmarkEnd w:id="1558"/>
      <w:bookmarkEnd w:id="1559"/>
      <w:bookmarkEnd w:id="1560"/>
    </w:p>
    <w:p w14:paraId="2A11D5FA">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sz w:val="23"/>
          <w:szCs w:val="23"/>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6E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1905197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85" w:type="dxa"/>
            <w:vMerge w:val="restart"/>
            <w:noWrap w:val="0"/>
            <w:vAlign w:val="center"/>
          </w:tcPr>
          <w:p w14:paraId="0B231B4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设备名称</w:t>
            </w:r>
          </w:p>
        </w:tc>
        <w:tc>
          <w:tcPr>
            <w:tcW w:w="758" w:type="dxa"/>
            <w:vMerge w:val="restart"/>
            <w:noWrap w:val="0"/>
            <w:vAlign w:val="center"/>
          </w:tcPr>
          <w:p w14:paraId="4EB42E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w:t>
            </w:r>
          </w:p>
          <w:p w14:paraId="1C4338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规格</w:t>
            </w:r>
          </w:p>
        </w:tc>
        <w:tc>
          <w:tcPr>
            <w:tcW w:w="670" w:type="dxa"/>
            <w:vMerge w:val="restart"/>
            <w:noWrap w:val="0"/>
            <w:vAlign w:val="center"/>
          </w:tcPr>
          <w:p w14:paraId="153A10B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w:t>
            </w:r>
          </w:p>
          <w:p w14:paraId="65384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产地</w:t>
            </w:r>
          </w:p>
        </w:tc>
        <w:tc>
          <w:tcPr>
            <w:tcW w:w="659" w:type="dxa"/>
            <w:vMerge w:val="restart"/>
            <w:noWrap w:val="0"/>
            <w:vAlign w:val="center"/>
          </w:tcPr>
          <w:p w14:paraId="63F3D9C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w:t>
            </w:r>
          </w:p>
          <w:p w14:paraId="2A8CC5E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年份</w:t>
            </w:r>
          </w:p>
        </w:tc>
        <w:tc>
          <w:tcPr>
            <w:tcW w:w="941" w:type="dxa"/>
            <w:vMerge w:val="restart"/>
            <w:noWrap w:val="0"/>
            <w:vAlign w:val="center"/>
          </w:tcPr>
          <w:p w14:paraId="444B2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额定功率（kW）</w:t>
            </w:r>
          </w:p>
        </w:tc>
        <w:tc>
          <w:tcPr>
            <w:tcW w:w="646" w:type="dxa"/>
            <w:vMerge w:val="restart"/>
            <w:noWrap w:val="0"/>
            <w:vAlign w:val="center"/>
          </w:tcPr>
          <w:p w14:paraId="1ABF7A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生产</w:t>
            </w:r>
          </w:p>
          <w:p w14:paraId="45C859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能力</w:t>
            </w:r>
          </w:p>
        </w:tc>
        <w:tc>
          <w:tcPr>
            <w:tcW w:w="2109" w:type="dxa"/>
            <w:gridSpan w:val="4"/>
            <w:noWrap w:val="0"/>
            <w:vAlign w:val="center"/>
          </w:tcPr>
          <w:p w14:paraId="1ECD3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数量（台）</w:t>
            </w:r>
          </w:p>
        </w:tc>
        <w:tc>
          <w:tcPr>
            <w:tcW w:w="948" w:type="dxa"/>
            <w:vMerge w:val="restart"/>
            <w:noWrap w:val="0"/>
            <w:vAlign w:val="center"/>
          </w:tcPr>
          <w:p w14:paraId="4F8D676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预计进场时间</w:t>
            </w:r>
          </w:p>
        </w:tc>
      </w:tr>
      <w:tr w14:paraId="4A0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1EB33AC5">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4D15288D">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1EC5643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4A4E1042">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30B2F2C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3034D39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6BE2B6E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restart"/>
            <w:noWrap w:val="0"/>
            <w:vAlign w:val="center"/>
          </w:tcPr>
          <w:p w14:paraId="12E15C2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c>
          <w:tcPr>
            <w:tcW w:w="1679" w:type="dxa"/>
            <w:gridSpan w:val="3"/>
            <w:noWrap w:val="0"/>
            <w:vAlign w:val="center"/>
          </w:tcPr>
          <w:p w14:paraId="2C39312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 中</w:t>
            </w:r>
          </w:p>
        </w:tc>
        <w:tc>
          <w:tcPr>
            <w:tcW w:w="948" w:type="dxa"/>
            <w:vMerge w:val="continue"/>
            <w:noWrap w:val="0"/>
            <w:vAlign w:val="center"/>
          </w:tcPr>
          <w:p w14:paraId="79F6F518">
            <w:pPr>
              <w:pageBreakBefore w:val="0"/>
              <w:kinsoku/>
              <w:wordWrap w:val="0"/>
              <w:bidi w:val="0"/>
              <w:spacing w:line="400" w:lineRule="atLeast"/>
              <w:jc w:val="center"/>
              <w:rPr>
                <w:rFonts w:hint="default" w:ascii="Times New Roman" w:hAnsi="Times New Roman" w:cs="Times New Roman"/>
                <w:szCs w:val="21"/>
                <w:highlight w:val="none"/>
              </w:rPr>
            </w:pPr>
          </w:p>
        </w:tc>
      </w:tr>
      <w:tr w14:paraId="77D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26CD1200">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1CB82D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5EB49AD5">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675076CD">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4AFC3B00">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256DDD3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11DA4589">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continue"/>
            <w:noWrap w:val="0"/>
            <w:vAlign w:val="center"/>
          </w:tcPr>
          <w:p w14:paraId="63A5B9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980F8A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自有</w:t>
            </w:r>
          </w:p>
        </w:tc>
        <w:tc>
          <w:tcPr>
            <w:tcW w:w="559" w:type="dxa"/>
            <w:noWrap w:val="0"/>
            <w:vAlign w:val="center"/>
          </w:tcPr>
          <w:p w14:paraId="4581DCA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新购</w:t>
            </w:r>
          </w:p>
        </w:tc>
        <w:tc>
          <w:tcPr>
            <w:tcW w:w="561" w:type="dxa"/>
            <w:noWrap w:val="0"/>
            <w:vAlign w:val="center"/>
          </w:tcPr>
          <w:p w14:paraId="5BBF42B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租赁</w:t>
            </w:r>
          </w:p>
        </w:tc>
        <w:tc>
          <w:tcPr>
            <w:tcW w:w="948" w:type="dxa"/>
            <w:vMerge w:val="continue"/>
            <w:noWrap w:val="0"/>
            <w:vAlign w:val="center"/>
          </w:tcPr>
          <w:p w14:paraId="2F374146">
            <w:pPr>
              <w:pageBreakBefore w:val="0"/>
              <w:kinsoku/>
              <w:wordWrap w:val="0"/>
              <w:bidi w:val="0"/>
              <w:spacing w:line="400" w:lineRule="atLeast"/>
              <w:jc w:val="center"/>
              <w:rPr>
                <w:rFonts w:hint="default" w:ascii="Times New Roman" w:hAnsi="Times New Roman" w:cs="Times New Roman"/>
                <w:szCs w:val="21"/>
                <w:highlight w:val="none"/>
              </w:rPr>
            </w:pPr>
          </w:p>
        </w:tc>
      </w:tr>
      <w:tr w14:paraId="75EE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710B706">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3D31023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425A470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310BD15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33E8A3B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FCB590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3DF16A4E">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784092D6">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303489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7F4E987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5DED37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B54A2C7">
            <w:pPr>
              <w:pageBreakBefore w:val="0"/>
              <w:kinsoku/>
              <w:wordWrap w:val="0"/>
              <w:bidi w:val="0"/>
              <w:spacing w:line="400" w:lineRule="atLeast"/>
              <w:jc w:val="center"/>
              <w:rPr>
                <w:rFonts w:hint="default" w:ascii="Times New Roman" w:hAnsi="Times New Roman" w:cs="Times New Roman"/>
                <w:szCs w:val="21"/>
                <w:highlight w:val="none"/>
              </w:rPr>
            </w:pPr>
          </w:p>
        </w:tc>
      </w:tr>
      <w:tr w14:paraId="3A5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17AB3D9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1D4A8FAA">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761A6BC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6A0C9A4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1BDDE7E3">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28916D0">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0F66A4B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5CF494E1">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1F1F74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3C0502D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1FC003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280F085">
            <w:pPr>
              <w:pageBreakBefore w:val="0"/>
              <w:kinsoku/>
              <w:wordWrap w:val="0"/>
              <w:bidi w:val="0"/>
              <w:spacing w:line="400" w:lineRule="atLeast"/>
              <w:jc w:val="center"/>
              <w:rPr>
                <w:rFonts w:hint="default" w:ascii="Times New Roman" w:hAnsi="Times New Roman" w:cs="Times New Roman"/>
                <w:szCs w:val="21"/>
                <w:highlight w:val="none"/>
              </w:rPr>
            </w:pPr>
          </w:p>
        </w:tc>
      </w:tr>
      <w:tr w14:paraId="5CE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B33DB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EF8BBA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3BE3EE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ED6E7C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2E6EC2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F51FD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6C0DDF8B">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BDE449E">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66953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C7A1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71A36CF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9A20CBB">
            <w:pPr>
              <w:pageBreakBefore w:val="0"/>
              <w:kinsoku/>
              <w:wordWrap w:val="0"/>
              <w:bidi w:val="0"/>
              <w:spacing w:line="400" w:lineRule="atLeast"/>
              <w:jc w:val="center"/>
              <w:rPr>
                <w:rFonts w:hint="default" w:ascii="Times New Roman" w:hAnsi="Times New Roman" w:cs="Times New Roman"/>
                <w:szCs w:val="21"/>
                <w:highlight w:val="none"/>
              </w:rPr>
            </w:pPr>
          </w:p>
        </w:tc>
      </w:tr>
      <w:tr w14:paraId="2C6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D070D2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7CD5A2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745374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06AD6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90A0EC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905E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84D6D1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9002F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E5C82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F01DB2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D81471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0227CD8">
            <w:pPr>
              <w:pageBreakBefore w:val="0"/>
              <w:kinsoku/>
              <w:wordWrap w:val="0"/>
              <w:bidi w:val="0"/>
              <w:spacing w:line="400" w:lineRule="atLeast"/>
              <w:jc w:val="center"/>
              <w:rPr>
                <w:rFonts w:hint="default" w:ascii="Times New Roman" w:hAnsi="Times New Roman" w:cs="Times New Roman"/>
                <w:szCs w:val="21"/>
                <w:highlight w:val="none"/>
              </w:rPr>
            </w:pPr>
          </w:p>
        </w:tc>
      </w:tr>
      <w:tr w14:paraId="1E3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5311EB5">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2F1897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432D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24058E5">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C399A3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70CDC93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EA9643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DAEBDD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D0F62C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A857E1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B2C0DE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64638F1">
            <w:pPr>
              <w:pageBreakBefore w:val="0"/>
              <w:kinsoku/>
              <w:wordWrap w:val="0"/>
              <w:bidi w:val="0"/>
              <w:spacing w:line="400" w:lineRule="atLeast"/>
              <w:jc w:val="center"/>
              <w:rPr>
                <w:rFonts w:hint="default" w:ascii="Times New Roman" w:hAnsi="Times New Roman" w:cs="Times New Roman"/>
                <w:szCs w:val="21"/>
                <w:highlight w:val="none"/>
              </w:rPr>
            </w:pPr>
          </w:p>
        </w:tc>
      </w:tr>
      <w:tr w14:paraId="0E4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34A3EC">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3496DE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17C1D8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88896F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E0CB3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53EC1F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8A4AAB1">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65F03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5E456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ED4297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43A1A9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C062E8E">
            <w:pPr>
              <w:pageBreakBefore w:val="0"/>
              <w:kinsoku/>
              <w:wordWrap w:val="0"/>
              <w:bidi w:val="0"/>
              <w:spacing w:line="400" w:lineRule="atLeast"/>
              <w:jc w:val="center"/>
              <w:rPr>
                <w:rFonts w:hint="default" w:ascii="Times New Roman" w:hAnsi="Times New Roman" w:cs="Times New Roman"/>
                <w:szCs w:val="21"/>
                <w:highlight w:val="none"/>
              </w:rPr>
            </w:pPr>
          </w:p>
        </w:tc>
      </w:tr>
      <w:tr w14:paraId="24E5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BC4E5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006710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75C64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81323F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D48E98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29C69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78A129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21816B4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C99AA9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1E9190B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117B90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615CB6">
            <w:pPr>
              <w:pageBreakBefore w:val="0"/>
              <w:kinsoku/>
              <w:wordWrap w:val="0"/>
              <w:bidi w:val="0"/>
              <w:spacing w:line="400" w:lineRule="atLeast"/>
              <w:jc w:val="center"/>
              <w:rPr>
                <w:rFonts w:hint="default" w:ascii="Times New Roman" w:hAnsi="Times New Roman" w:cs="Times New Roman"/>
                <w:szCs w:val="21"/>
                <w:highlight w:val="none"/>
              </w:rPr>
            </w:pPr>
          </w:p>
        </w:tc>
      </w:tr>
      <w:tr w14:paraId="5FC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C8BE02A">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A3F63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9024F">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89710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E90797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2D29B3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47824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84466D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408A8A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4E722E7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EA176E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CCB4B46">
            <w:pPr>
              <w:pageBreakBefore w:val="0"/>
              <w:kinsoku/>
              <w:wordWrap w:val="0"/>
              <w:bidi w:val="0"/>
              <w:spacing w:line="400" w:lineRule="atLeast"/>
              <w:jc w:val="center"/>
              <w:rPr>
                <w:rFonts w:hint="default" w:ascii="Times New Roman" w:hAnsi="Times New Roman" w:cs="Times New Roman"/>
                <w:szCs w:val="21"/>
                <w:highlight w:val="none"/>
              </w:rPr>
            </w:pPr>
          </w:p>
        </w:tc>
      </w:tr>
      <w:tr w14:paraId="27F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2FF9D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D3A5A6">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9E64CC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966893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1BBD74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907F30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4F818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3C553F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9F04C6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B9CD44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EE3C17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BD1D1E4">
            <w:pPr>
              <w:pageBreakBefore w:val="0"/>
              <w:kinsoku/>
              <w:wordWrap w:val="0"/>
              <w:bidi w:val="0"/>
              <w:spacing w:line="400" w:lineRule="atLeast"/>
              <w:jc w:val="center"/>
              <w:rPr>
                <w:rFonts w:hint="default" w:ascii="Times New Roman" w:hAnsi="Times New Roman" w:cs="Times New Roman"/>
                <w:szCs w:val="21"/>
                <w:highlight w:val="none"/>
              </w:rPr>
            </w:pPr>
          </w:p>
        </w:tc>
      </w:tr>
      <w:tr w14:paraId="72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6ED1A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C4C6293">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6FCA6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49EA86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8654C1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87D648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0CFB0F">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1B1E83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253F6B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47FE5A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39FCEF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892A11B">
            <w:pPr>
              <w:pageBreakBefore w:val="0"/>
              <w:kinsoku/>
              <w:wordWrap w:val="0"/>
              <w:bidi w:val="0"/>
              <w:spacing w:line="400" w:lineRule="atLeast"/>
              <w:jc w:val="center"/>
              <w:rPr>
                <w:rFonts w:hint="default" w:ascii="Times New Roman" w:hAnsi="Times New Roman" w:cs="Times New Roman"/>
                <w:szCs w:val="21"/>
                <w:highlight w:val="none"/>
              </w:rPr>
            </w:pPr>
          </w:p>
        </w:tc>
      </w:tr>
      <w:tr w14:paraId="26C7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39B41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7D1D2E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B59EFA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3125758">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C023B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6914F84">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F4FCF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1D90C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5BB1E1B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2D3AA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1B6BE3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A682FDD">
            <w:pPr>
              <w:pageBreakBefore w:val="0"/>
              <w:kinsoku/>
              <w:wordWrap w:val="0"/>
              <w:bidi w:val="0"/>
              <w:spacing w:line="400" w:lineRule="atLeast"/>
              <w:jc w:val="center"/>
              <w:rPr>
                <w:rFonts w:hint="default" w:ascii="Times New Roman" w:hAnsi="Times New Roman" w:cs="Times New Roman"/>
                <w:szCs w:val="21"/>
                <w:highlight w:val="none"/>
              </w:rPr>
            </w:pPr>
          </w:p>
        </w:tc>
      </w:tr>
      <w:tr w14:paraId="2ED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F0E929E">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C59F0F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3282F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B1645B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94390E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678A80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447E3B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763733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E487E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8A72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183C59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8BEA363">
            <w:pPr>
              <w:pageBreakBefore w:val="0"/>
              <w:kinsoku/>
              <w:wordWrap w:val="0"/>
              <w:bidi w:val="0"/>
              <w:spacing w:line="400" w:lineRule="atLeast"/>
              <w:jc w:val="center"/>
              <w:rPr>
                <w:rFonts w:hint="default" w:ascii="Times New Roman" w:hAnsi="Times New Roman" w:cs="Times New Roman"/>
                <w:szCs w:val="21"/>
                <w:highlight w:val="none"/>
              </w:rPr>
            </w:pPr>
          </w:p>
        </w:tc>
      </w:tr>
      <w:tr w14:paraId="051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0163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AC82F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BD88640">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473F30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318CA3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0BBC4E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0D1291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DB0013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8C475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66C8B2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53CB86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CAD615">
            <w:pPr>
              <w:pageBreakBefore w:val="0"/>
              <w:kinsoku/>
              <w:wordWrap w:val="0"/>
              <w:bidi w:val="0"/>
              <w:spacing w:line="400" w:lineRule="atLeast"/>
              <w:jc w:val="center"/>
              <w:rPr>
                <w:rFonts w:hint="default" w:ascii="Times New Roman" w:hAnsi="Times New Roman" w:cs="Times New Roman"/>
                <w:szCs w:val="21"/>
                <w:highlight w:val="none"/>
              </w:rPr>
            </w:pPr>
          </w:p>
        </w:tc>
      </w:tr>
      <w:tr w14:paraId="0C4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EBF1D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EDFB058">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53B79FD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858B9F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34FC68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A800DF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76D017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A48638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3DBEF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336603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080084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3C4E0E">
            <w:pPr>
              <w:pageBreakBefore w:val="0"/>
              <w:kinsoku/>
              <w:wordWrap w:val="0"/>
              <w:bidi w:val="0"/>
              <w:spacing w:line="400" w:lineRule="atLeast"/>
              <w:jc w:val="center"/>
              <w:rPr>
                <w:rFonts w:hint="default" w:ascii="Times New Roman" w:hAnsi="Times New Roman" w:cs="Times New Roman"/>
                <w:szCs w:val="21"/>
                <w:highlight w:val="none"/>
              </w:rPr>
            </w:pPr>
          </w:p>
        </w:tc>
      </w:tr>
      <w:tr w14:paraId="757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800FB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657E28FC">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C58E1C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F186B2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BEBABB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1D6A6C6">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1A461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9AC7E5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1ADD0A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317A5F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B91C54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A06AF9F">
            <w:pPr>
              <w:pageBreakBefore w:val="0"/>
              <w:kinsoku/>
              <w:wordWrap w:val="0"/>
              <w:bidi w:val="0"/>
              <w:spacing w:line="400" w:lineRule="atLeast"/>
              <w:jc w:val="center"/>
              <w:rPr>
                <w:rFonts w:hint="default" w:ascii="Times New Roman" w:hAnsi="Times New Roman" w:cs="Times New Roman"/>
                <w:szCs w:val="21"/>
                <w:highlight w:val="none"/>
              </w:rPr>
            </w:pPr>
          </w:p>
        </w:tc>
      </w:tr>
      <w:tr w14:paraId="3D9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E2F80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5F732F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B4EB697">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0AA0DF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B9EEE9A">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5D8072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6A13C7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47CCB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DE6A2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34B1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9ABC3F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2BF0D49">
            <w:pPr>
              <w:pageBreakBefore w:val="0"/>
              <w:kinsoku/>
              <w:wordWrap w:val="0"/>
              <w:bidi w:val="0"/>
              <w:spacing w:line="400" w:lineRule="atLeast"/>
              <w:jc w:val="center"/>
              <w:rPr>
                <w:rFonts w:hint="default" w:ascii="Times New Roman" w:hAnsi="Times New Roman" w:cs="Times New Roman"/>
                <w:szCs w:val="21"/>
                <w:highlight w:val="none"/>
              </w:rPr>
            </w:pPr>
          </w:p>
        </w:tc>
      </w:tr>
      <w:tr w14:paraId="720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A26560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7F81F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67AAC80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38D18D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930D39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3AACED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E1665A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A0996F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0B03FA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891B7E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D5852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EF7676A">
            <w:pPr>
              <w:pageBreakBefore w:val="0"/>
              <w:kinsoku/>
              <w:wordWrap w:val="0"/>
              <w:bidi w:val="0"/>
              <w:spacing w:line="400" w:lineRule="atLeast"/>
              <w:jc w:val="center"/>
              <w:rPr>
                <w:rFonts w:hint="default" w:ascii="Times New Roman" w:hAnsi="Times New Roman" w:cs="Times New Roman"/>
                <w:szCs w:val="21"/>
                <w:highlight w:val="none"/>
              </w:rPr>
            </w:pPr>
          </w:p>
        </w:tc>
      </w:tr>
      <w:tr w14:paraId="031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424997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96F710F">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836E7E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CDB43B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90EFD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06ECC6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E07474">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6396E6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2DA263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51A4AE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A57398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9D76BB1">
            <w:pPr>
              <w:pageBreakBefore w:val="0"/>
              <w:kinsoku/>
              <w:wordWrap w:val="0"/>
              <w:bidi w:val="0"/>
              <w:spacing w:line="400" w:lineRule="atLeast"/>
              <w:jc w:val="center"/>
              <w:rPr>
                <w:rFonts w:hint="default" w:ascii="Times New Roman" w:hAnsi="Times New Roman" w:cs="Times New Roman"/>
                <w:szCs w:val="21"/>
                <w:highlight w:val="none"/>
              </w:rPr>
            </w:pPr>
          </w:p>
        </w:tc>
      </w:tr>
      <w:tr w14:paraId="4DF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AD70D50">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590E68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E98662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50DC83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69A5A6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0A5181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68DE263">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06D63F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AD1956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91B966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FB3C3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42B701">
            <w:pPr>
              <w:pageBreakBefore w:val="0"/>
              <w:kinsoku/>
              <w:wordWrap w:val="0"/>
              <w:bidi w:val="0"/>
              <w:spacing w:line="400" w:lineRule="atLeast"/>
              <w:jc w:val="center"/>
              <w:rPr>
                <w:rFonts w:hint="default" w:ascii="Times New Roman" w:hAnsi="Times New Roman" w:cs="Times New Roman"/>
                <w:szCs w:val="21"/>
                <w:highlight w:val="none"/>
              </w:rPr>
            </w:pPr>
          </w:p>
        </w:tc>
      </w:tr>
      <w:tr w14:paraId="405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9920FE7">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C5345B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011367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F6ACF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81E82C5">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43D814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95E468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CC494D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AB2511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7FD7A7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6F8AD5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775252F">
            <w:pPr>
              <w:pageBreakBefore w:val="0"/>
              <w:kinsoku/>
              <w:wordWrap w:val="0"/>
              <w:bidi w:val="0"/>
              <w:spacing w:line="400" w:lineRule="atLeast"/>
              <w:jc w:val="center"/>
              <w:rPr>
                <w:rFonts w:hint="default" w:ascii="Times New Roman" w:hAnsi="Times New Roman" w:cs="Times New Roman"/>
                <w:szCs w:val="21"/>
                <w:highlight w:val="none"/>
              </w:rPr>
            </w:pPr>
          </w:p>
        </w:tc>
      </w:tr>
      <w:tr w14:paraId="5D9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F17344">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9EF8E6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CE114D4">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62D695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232DD0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4F34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0C0AFC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77641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92084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CEB04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1ADA248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C21B421">
            <w:pPr>
              <w:pageBreakBefore w:val="0"/>
              <w:kinsoku/>
              <w:wordWrap w:val="0"/>
              <w:bidi w:val="0"/>
              <w:spacing w:line="400" w:lineRule="atLeast"/>
              <w:jc w:val="center"/>
              <w:rPr>
                <w:rFonts w:hint="default" w:ascii="Times New Roman" w:hAnsi="Times New Roman" w:cs="Times New Roman"/>
                <w:szCs w:val="21"/>
                <w:highlight w:val="none"/>
              </w:rPr>
            </w:pPr>
          </w:p>
        </w:tc>
      </w:tr>
      <w:tr w14:paraId="39A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C0B47C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D89AA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24A0E5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D91A86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FA9562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2D1B7D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22DE54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771A4CD">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FC51B8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A17E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863C9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2571B3C">
            <w:pPr>
              <w:pageBreakBefore w:val="0"/>
              <w:kinsoku/>
              <w:wordWrap w:val="0"/>
              <w:bidi w:val="0"/>
              <w:spacing w:line="400" w:lineRule="atLeast"/>
              <w:jc w:val="center"/>
              <w:rPr>
                <w:rFonts w:hint="default" w:ascii="Times New Roman" w:hAnsi="Times New Roman" w:cs="Times New Roman"/>
                <w:szCs w:val="21"/>
                <w:highlight w:val="none"/>
              </w:rPr>
            </w:pPr>
          </w:p>
        </w:tc>
      </w:tr>
      <w:tr w14:paraId="3A3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5C51C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A15D4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8295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F2A652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3A6A83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F259D1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AC3FB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5D59F0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D43CCB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F23BF0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43C43F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4AA29C9">
            <w:pPr>
              <w:pageBreakBefore w:val="0"/>
              <w:kinsoku/>
              <w:wordWrap w:val="0"/>
              <w:bidi w:val="0"/>
              <w:spacing w:line="400" w:lineRule="atLeast"/>
              <w:jc w:val="center"/>
              <w:rPr>
                <w:rFonts w:hint="default" w:ascii="Times New Roman" w:hAnsi="Times New Roman" w:cs="Times New Roman"/>
                <w:szCs w:val="21"/>
                <w:highlight w:val="none"/>
              </w:rPr>
            </w:pPr>
          </w:p>
        </w:tc>
      </w:tr>
      <w:tr w14:paraId="3E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D5DDB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E2108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861DF1D">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F641E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5333B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2F8008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CB6D68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6262920">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072E33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E2F465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DFB304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5A8CD558">
            <w:pPr>
              <w:pageBreakBefore w:val="0"/>
              <w:kinsoku/>
              <w:wordWrap w:val="0"/>
              <w:bidi w:val="0"/>
              <w:spacing w:line="400" w:lineRule="atLeast"/>
              <w:jc w:val="center"/>
              <w:rPr>
                <w:rFonts w:hint="default" w:ascii="Times New Roman" w:hAnsi="Times New Roman" w:cs="Times New Roman"/>
                <w:szCs w:val="21"/>
                <w:highlight w:val="none"/>
              </w:rPr>
            </w:pPr>
          </w:p>
        </w:tc>
      </w:tr>
      <w:tr w14:paraId="48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5D473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FB1B5C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FB756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7028F594">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ABBA2F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1B5AF7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10D69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F69DD0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B42218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55902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A1AF3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5CE5E21">
            <w:pPr>
              <w:pageBreakBefore w:val="0"/>
              <w:kinsoku/>
              <w:wordWrap w:val="0"/>
              <w:bidi w:val="0"/>
              <w:spacing w:line="400" w:lineRule="atLeast"/>
              <w:jc w:val="center"/>
              <w:rPr>
                <w:rFonts w:hint="default" w:ascii="Times New Roman" w:hAnsi="Times New Roman" w:cs="Times New Roman"/>
                <w:szCs w:val="21"/>
                <w:highlight w:val="none"/>
              </w:rPr>
            </w:pPr>
          </w:p>
        </w:tc>
      </w:tr>
    </w:tbl>
    <w:p w14:paraId="7447B842">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092A5ED5">
      <w:pPr>
        <w:pageBreakBefore w:val="0"/>
        <w:kinsoku/>
        <w:wordWrap w:val="0"/>
        <w:topLinePunct/>
        <w:bidi w:val="0"/>
        <w:spacing w:line="400" w:lineRule="atLeast"/>
        <w:rPr>
          <w:rFonts w:hint="default" w:ascii="Times New Roman" w:hAnsi="Times New Roman" w:cs="Times New Roman"/>
          <w:sz w:val="23"/>
          <w:szCs w:val="23"/>
          <w:highlight w:val="none"/>
        </w:rPr>
      </w:pPr>
    </w:p>
    <w:p w14:paraId="782E64D7">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61" w:name="_Toc32334"/>
      <w:bookmarkStart w:id="1562" w:name="_Toc234833289"/>
      <w:bookmarkStart w:id="1563" w:name="_Toc13545"/>
      <w:r>
        <w:rPr>
          <w:rFonts w:hint="default" w:ascii="Times New Roman" w:hAnsi="Times New Roman" w:eastAsia="黑体" w:cs="Times New Roman"/>
          <w:b w:val="0"/>
          <w:sz w:val="24"/>
          <w:szCs w:val="24"/>
          <w:highlight w:val="none"/>
        </w:rPr>
        <w:t>（十） 拟配备本标段的主要材料试验、测量、质检仪器设备表</w:t>
      </w:r>
      <w:r>
        <w:rPr>
          <w:rFonts w:hint="default" w:ascii="Times New Roman" w:hAnsi="Times New Roman" w:eastAsia="黑体" w:cs="Times New Roman"/>
          <w:b w:val="0"/>
          <w:sz w:val="24"/>
          <w:szCs w:val="24"/>
          <w:highlight w:val="none"/>
          <w:vertAlign w:val="superscript"/>
        </w:rPr>
        <w:footnoteReference w:id="42"/>
      </w:r>
      <w:bookmarkEnd w:id="1561"/>
      <w:bookmarkEnd w:id="1562"/>
      <w:bookmarkEnd w:id="1563"/>
    </w:p>
    <w:p w14:paraId="7A5F50AC">
      <w:pPr>
        <w:pageBreakBefore w:val="0"/>
        <w:kinsoku/>
        <w:wordWrap w:val="0"/>
        <w:bidi w:val="0"/>
        <w:spacing w:line="400" w:lineRule="atLeast"/>
        <w:rPr>
          <w:rFonts w:hint="default" w:ascii="Times New Roman" w:hAnsi="Times New Roman" w:cs="Times New Roman"/>
          <w:sz w:val="20"/>
          <w:szCs w:val="20"/>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310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19CF5D4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17" w:type="dxa"/>
            <w:noWrap w:val="0"/>
            <w:vAlign w:val="center"/>
          </w:tcPr>
          <w:p w14:paraId="317C9810">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仪器设备名称</w:t>
            </w:r>
          </w:p>
        </w:tc>
        <w:tc>
          <w:tcPr>
            <w:tcW w:w="1030" w:type="dxa"/>
            <w:noWrap w:val="0"/>
            <w:vAlign w:val="center"/>
          </w:tcPr>
          <w:p w14:paraId="551907C6">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型号规格</w:t>
            </w:r>
          </w:p>
        </w:tc>
        <w:tc>
          <w:tcPr>
            <w:tcW w:w="1016" w:type="dxa"/>
            <w:noWrap w:val="0"/>
            <w:vAlign w:val="center"/>
          </w:tcPr>
          <w:p w14:paraId="1FD70B45">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026" w:type="dxa"/>
            <w:noWrap w:val="0"/>
            <w:vAlign w:val="center"/>
          </w:tcPr>
          <w:p w14:paraId="3D7A2A7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国别产地</w:t>
            </w:r>
          </w:p>
        </w:tc>
        <w:tc>
          <w:tcPr>
            <w:tcW w:w="1026" w:type="dxa"/>
            <w:noWrap w:val="0"/>
            <w:vAlign w:val="center"/>
          </w:tcPr>
          <w:p w14:paraId="67864FA2">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制造年份</w:t>
            </w:r>
          </w:p>
        </w:tc>
        <w:tc>
          <w:tcPr>
            <w:tcW w:w="1693" w:type="dxa"/>
            <w:noWrap w:val="0"/>
            <w:vAlign w:val="center"/>
          </w:tcPr>
          <w:p w14:paraId="4EDC023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用途</w:t>
            </w:r>
          </w:p>
        </w:tc>
        <w:tc>
          <w:tcPr>
            <w:tcW w:w="697" w:type="dxa"/>
            <w:noWrap w:val="0"/>
            <w:vAlign w:val="center"/>
          </w:tcPr>
          <w:p w14:paraId="6239C9D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r>
      <w:tr w14:paraId="7B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1BCD15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6B8F3BC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33A6E5C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6C1EFA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24BBFD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4EB95E0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3FB2753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6010F0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C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6EC4B6F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25DBA35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6D442B4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48B13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308988B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0E33571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11CCBC5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176135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F8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E3C1CD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F8D5E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A60479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C5BFF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62A98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2C5BB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70003A7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360305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B1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257C4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3E703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0C8887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7DB26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76E8854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BB8801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A8DC0C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E0C72A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BB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99AF93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4EB2F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A97E4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86A4E3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1C2C96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F1D8DB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25E3C44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37FD0E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845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FBB34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BEB2E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DAEC18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30E9C7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CE6CF5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0B9E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AC383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DF909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DC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65B84F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3C959DB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6D5A48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8BE200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D3F8C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507E1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EACC8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1BFA20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4B2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16198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74868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54AD19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213D9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85DAEE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40F78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1E6BA0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0BF52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3C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5DE87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5DE744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108B5C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4FB16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49DC6B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26EB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CB7A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71FB4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33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DED40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A81E5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E6A14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227DEF9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BE4D16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B71B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8B841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4C45E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681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E962AF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507AC76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51F167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B8B797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2A7BA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692E2D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EC2AB8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1E23B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58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BA88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18D3C20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7023E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5EBD285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809AB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D6322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A7002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07634D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7E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593C14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8F7C2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6AD2E9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55ED9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D68AD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20BD0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05A2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714C9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68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A87CE0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BC050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3BA3C6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119BEE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D5007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BC973E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103868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7391A35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EC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EF14FF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7668DB1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480812E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044D7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9DEA30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C22DFA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4ED66DD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01FEBD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3C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0E2FC3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E449D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0E1C8F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106FEE7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133696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A332DA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77B46D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220AD17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bl>
    <w:p w14:paraId="23B7CD55">
      <w:pPr>
        <w:pStyle w:val="17"/>
        <w:pageBreakBefore w:val="0"/>
        <w:kinsoku/>
        <w:wordWrap w:val="0"/>
        <w:bidi w:val="0"/>
        <w:spacing w:after="0" w:line="400" w:lineRule="atLeast"/>
        <w:ind w:left="735" w:leftChars="0"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2F6E902B">
      <w:pPr>
        <w:keepNext/>
        <w:keepLines w:val="0"/>
        <w:pageBreakBefore w:val="0"/>
        <w:widowControl w:val="0"/>
        <w:kinsoku/>
        <w:wordWrap/>
        <w:overflowPunct/>
        <w:topLinePunct/>
        <w:autoSpaceDE/>
        <w:autoSpaceDN/>
        <w:bidi w:val="0"/>
        <w:adjustRightInd w:val="0"/>
        <w:snapToGrid/>
        <w:spacing w:line="440" w:lineRule="exact"/>
        <w:jc w:val="center"/>
        <w:textAlignment w:val="baseline"/>
        <w:outlineLvl w:val="0"/>
        <w:rPr>
          <w:rFonts w:hint="default" w:ascii="Times New Roman" w:hAnsi="Times New Roman" w:eastAsia="黑体" w:cs="Times New Roman"/>
          <w:kern w:val="0"/>
          <w:sz w:val="28"/>
          <w:szCs w:val="20"/>
          <w:highlight w:val="none"/>
        </w:rPr>
      </w:pPr>
      <w:r>
        <w:rPr>
          <w:rFonts w:hint="default" w:ascii="Times New Roman" w:hAnsi="Times New Roman" w:cs="Times New Roman"/>
          <w:sz w:val="24"/>
          <w:highlight w:val="none"/>
        </w:rPr>
        <w:br w:type="page"/>
      </w:r>
      <w:bookmarkStart w:id="1564" w:name="_Toc18105"/>
      <w:bookmarkStart w:id="1565" w:name="_Toc15816"/>
      <w:bookmarkStart w:id="1566" w:name="_Toc5710"/>
      <w:bookmarkStart w:id="1567" w:name="_Toc234833291"/>
      <w:r>
        <w:rPr>
          <w:rFonts w:hint="default" w:ascii="Times New Roman" w:hAnsi="Times New Roman" w:eastAsia="黑体" w:cs="Times New Roman"/>
          <w:sz w:val="28"/>
          <w:szCs w:val="28"/>
          <w:highlight w:val="none"/>
          <w:lang w:val="en-US" w:eastAsia="zh-CN"/>
        </w:rPr>
        <w:t>九</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kern w:val="0"/>
          <w:sz w:val="28"/>
          <w:szCs w:val="20"/>
          <w:highlight w:val="none"/>
        </w:rPr>
        <w:t>投标人告知承诺函</w:t>
      </w:r>
      <w:bookmarkEnd w:id="1564"/>
      <w:bookmarkEnd w:id="1565"/>
      <w:bookmarkEnd w:id="1566"/>
    </w:p>
    <w:p w14:paraId="1F0878F1">
      <w:pPr>
        <w:spacing w:line="380" w:lineRule="exact"/>
        <w:rPr>
          <w:rFonts w:hint="default" w:ascii="Times New Roman" w:hAnsi="Times New Roman" w:cs="Times New Roman"/>
          <w:sz w:val="24"/>
          <w:highlight w:val="none"/>
          <w:u w:val="single"/>
        </w:rPr>
      </w:pPr>
    </w:p>
    <w:p w14:paraId="04E7DA04">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（监管部门名称）：</w:t>
      </w:r>
    </w:p>
    <w:p w14:paraId="76D24A4C">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我单位参与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182AD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一、我单位和我本人遵循公开、公平、公正、诚实守信的原则，依法依规参与本项目投标。</w:t>
      </w:r>
    </w:p>
    <w:p w14:paraId="3D71949A">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二、我单位具有参与本次投标的资质和能力，公司运营状况良好，不存在挂靠投标、不受让、租借、出租、出借资格或资质证书，无处罚期内的不良行为。</w:t>
      </w:r>
    </w:p>
    <w:p w14:paraId="79ED28A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三、我单位在本项目投标过程中从招标公告列明的渠道获取招标文件，没有通过其他不正当渠道获取招标文件。</w:t>
      </w:r>
    </w:p>
    <w:p w14:paraId="1EB1DF96">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四、我单位承诺投标文件由本单位员工独立编制，严格遵守保密义务。所提供的一切投标相关材料都是真实、有效、合法的。</w:t>
      </w:r>
    </w:p>
    <w:p w14:paraId="0EEEEAA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五、我单位不与其他投标人相互串通投标报价，不恶意压低或抬高投标报价，不排挤其他投标人的公平竞争，不损害招标人或其他投标人的合法权益。</w:t>
      </w:r>
    </w:p>
    <w:p w14:paraId="41AD241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六、我单位不与招标人或招标代理机构串通投标，损害国家利益、社会公共利益或者他人的合法权益。</w:t>
      </w:r>
    </w:p>
    <w:p w14:paraId="220D9E4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七、我单位不向招标人或者评标委员会成员行贿以牟取中标，不在开标后进行虚假恶意投诉。</w:t>
      </w:r>
    </w:p>
    <w:p w14:paraId="3A53AAE5">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八、我单位和我个人清楚并知晓《中华人民共和国刑法》第二百二十三条</w:t>
      </w:r>
      <w:r>
        <w:rPr>
          <w:rFonts w:hint="eastAsia" w:ascii="宋体" w:hAnsi="宋体" w:eastAsia="宋体" w:cs="宋体"/>
          <w:sz w:val="24"/>
          <w:highlight w:val="none"/>
        </w:rPr>
        <w:t>“</w:t>
      </w:r>
      <w:r>
        <w:rPr>
          <w:rFonts w:hint="default" w:ascii="Times New Roman" w:hAnsi="Times New Roman" w:cs="Times New Roman"/>
          <w:sz w:val="24"/>
          <w:highlight w:val="none"/>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sz w:val="24"/>
          <w:highlight w:val="none"/>
        </w:rPr>
        <w:t>”</w:t>
      </w:r>
      <w:r>
        <w:rPr>
          <w:rFonts w:hint="default" w:ascii="Times New Roman" w:hAnsi="Times New Roman" w:cs="Times New Roman"/>
          <w:sz w:val="24"/>
          <w:highlight w:val="none"/>
        </w:rPr>
        <w:t>的规定。</w:t>
      </w:r>
    </w:p>
    <w:p w14:paraId="656E551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九、我单位如在本项目招标投标活动评标工作中存在串通投标、弄虚作假等行为的，本单位及本人自愿承担法律责任，接受相应刑事、纪律和行政处罚以及失信惩戒。</w:t>
      </w:r>
    </w:p>
    <w:p w14:paraId="76106BCF">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十、本承诺函由我单位盖章及法定代表人（授权委托人）本人亲自签字确认。</w:t>
      </w:r>
    </w:p>
    <w:p w14:paraId="3F93FDF6">
      <w:pPr>
        <w:spacing w:line="380" w:lineRule="exact"/>
        <w:ind w:firstLine="480" w:firstLineChars="200"/>
        <w:rPr>
          <w:rFonts w:hint="default" w:ascii="Times New Roman" w:hAnsi="Times New Roman" w:cs="Times New Roman"/>
          <w:sz w:val="24"/>
          <w:highlight w:val="none"/>
        </w:rPr>
      </w:pPr>
    </w:p>
    <w:p w14:paraId="76B3D123">
      <w:pPr>
        <w:widowControl/>
        <w:spacing w:line="380" w:lineRule="exact"/>
        <w:jc w:val="right"/>
        <w:rPr>
          <w:rFonts w:hint="default" w:ascii="Times New Roman" w:hAnsi="Times New Roman" w:cs="Times New Roman"/>
          <w:kern w:val="0"/>
          <w:sz w:val="24"/>
          <w:highlight w:val="none"/>
          <w:u w:val="single"/>
          <w:lang w:val="zh-CN" w:bidi="zh-CN"/>
        </w:rPr>
      </w:pPr>
      <w:r>
        <w:rPr>
          <w:rFonts w:hint="default" w:ascii="Times New Roman" w:hAnsi="Times New Roman" w:cs="Times New Roman"/>
          <w:kern w:val="0"/>
          <w:sz w:val="24"/>
          <w:highlight w:val="none"/>
          <w:lang w:val="zh-CN" w:bidi="zh-CN"/>
        </w:rPr>
        <w:t>投标人：</w:t>
      </w:r>
      <w:r>
        <w:rPr>
          <w:rFonts w:hint="default" w:ascii="Times New Roman" w:hAnsi="Times New Roman" w:cs="Times New Roman"/>
          <w:kern w:val="0"/>
          <w:sz w:val="24"/>
          <w:highlight w:val="none"/>
          <w:u w:val="single"/>
          <w:lang w:val="zh-CN" w:bidi="zh-CN"/>
        </w:rPr>
        <w:t>投标人</w:t>
      </w:r>
      <w:r>
        <w:rPr>
          <w:rFonts w:hint="default" w:ascii="Times New Roman" w:hAnsi="Times New Roman" w:cs="Times New Roman"/>
          <w:kern w:val="0"/>
          <w:sz w:val="24"/>
          <w:highlight w:val="none"/>
          <w:u w:val="single"/>
          <w:lang w:val="zh-CN" w:bidi="zh-CN"/>
        </w:rPr>
        <w:t>全称（加盖单位</w:t>
      </w:r>
      <w:r>
        <w:rPr>
          <w:rFonts w:hint="default" w:ascii="Times New Roman" w:hAnsi="Times New Roman" w:cs="Times New Roman"/>
          <w:kern w:val="0"/>
          <w:sz w:val="24"/>
          <w:highlight w:val="none"/>
          <w:u w:val="single"/>
          <w:lang w:val="en-US" w:bidi="zh-CN"/>
        </w:rPr>
        <w:t>电子印</w:t>
      </w:r>
      <w:r>
        <w:rPr>
          <w:rFonts w:hint="default" w:ascii="Times New Roman" w:hAnsi="Times New Roman" w:cs="Times New Roman"/>
          <w:kern w:val="0"/>
          <w:sz w:val="24"/>
          <w:highlight w:val="none"/>
          <w:u w:val="single"/>
          <w:lang w:val="zh-CN" w:bidi="zh-CN"/>
        </w:rPr>
        <w:t>章）</w:t>
      </w:r>
    </w:p>
    <w:p w14:paraId="6CECCD7D">
      <w:pPr>
        <w:widowControl/>
        <w:wordWrap w:val="0"/>
        <w:spacing w:line="380" w:lineRule="exact"/>
        <w:jc w:val="right"/>
        <w:rPr>
          <w:rFonts w:hint="default" w:ascii="Times New Roman" w:hAnsi="Times New Roman" w:cs="Times New Roman"/>
          <w:kern w:val="0"/>
          <w:sz w:val="24"/>
          <w:highlight w:val="none"/>
          <w:lang w:val="zh-CN" w:bidi="zh-CN"/>
        </w:rPr>
      </w:pPr>
      <w:r>
        <w:rPr>
          <w:rFonts w:hint="default" w:ascii="Times New Roman" w:hAnsi="Times New Roman" w:cs="Times New Roman"/>
          <w:kern w:val="0"/>
          <w:sz w:val="24"/>
          <w:highlight w:val="none"/>
          <w:lang w:val="zh-CN" w:bidi="zh-CN"/>
        </w:rPr>
        <w:t>法定代表人（或授权委托人）：</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w:t>
      </w:r>
      <w:r>
        <w:rPr>
          <w:rFonts w:hint="default" w:ascii="Times New Roman" w:hAnsi="Times New Roman" w:cs="Times New Roman"/>
          <w:sz w:val="24"/>
          <w:highlight w:val="none"/>
        </w:rPr>
        <w:t>个人电子签名章或</w:t>
      </w:r>
      <w:r>
        <w:rPr>
          <w:rFonts w:hint="default" w:ascii="Times New Roman" w:hAnsi="Times New Roman" w:cs="Times New Roman"/>
          <w:sz w:val="24"/>
          <w:highlight w:val="none"/>
        </w:rPr>
        <w:t>个人电子印章</w:t>
      </w:r>
      <w:r>
        <w:rPr>
          <w:rFonts w:hint="default" w:ascii="Times New Roman" w:hAnsi="Times New Roman" w:cs="Times New Roman"/>
          <w:kern w:val="0"/>
          <w:sz w:val="24"/>
          <w:highlight w:val="none"/>
          <w:lang w:val="zh-CN" w:bidi="zh-CN"/>
        </w:rPr>
        <w:t>）</w:t>
      </w:r>
    </w:p>
    <w:p w14:paraId="7A776FFE">
      <w:pPr>
        <w:widowControl/>
        <w:wordWrap w:val="0"/>
        <w:spacing w:line="380" w:lineRule="exact"/>
        <w:jc w:val="right"/>
        <w:rPr>
          <w:rFonts w:hint="default" w:ascii="Times New Roman" w:hAnsi="Times New Roman" w:eastAsia="黑体" w:cs="Times New Roman"/>
          <w:b w:val="0"/>
          <w:sz w:val="28"/>
          <w:szCs w:val="28"/>
          <w:highlight w:val="none"/>
        </w:rPr>
      </w:pPr>
      <w:r>
        <w:rPr>
          <w:rFonts w:hint="default" w:ascii="Times New Roman" w:hAnsi="Times New Roman" w:cs="Times New Roman"/>
          <w:kern w:val="0"/>
          <w:sz w:val="24"/>
          <w:highlight w:val="none"/>
          <w:lang w:val="zh-CN" w:bidi="zh-CN"/>
        </w:rPr>
        <w:t>承诺日期：</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年</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月</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日</w:t>
      </w:r>
    </w:p>
    <w:p w14:paraId="7AF5495D">
      <w:pPr>
        <w:pStyle w:val="2"/>
        <w:pageBreakBefore w:val="0"/>
        <w:kinsoku/>
        <w:wordWrap w:val="0"/>
        <w:overflowPunct/>
        <w:bidi w:val="0"/>
        <w:spacing w:before="0" w:after="0" w:line="380" w:lineRule="atLeast"/>
        <w:jc w:val="center"/>
        <w:rPr>
          <w:rFonts w:hint="default" w:ascii="Times New Roman" w:hAnsi="Times New Roman" w:cs="Times New Roman"/>
          <w:b w:val="0"/>
          <w:sz w:val="28"/>
          <w:szCs w:val="28"/>
          <w:highlight w:val="none"/>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57D22F7E">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68" w:name="_Toc29855"/>
      <w:bookmarkStart w:id="1569" w:name="_Toc18802"/>
      <w:r>
        <w:rPr>
          <w:rFonts w:hint="default" w:ascii="Times New Roman" w:hAnsi="Times New Roman" w:cs="Times New Roman"/>
          <w:sz w:val="28"/>
          <w:szCs w:val="28"/>
          <w:highlight w:val="none"/>
          <w:lang w:val="en-US" w:eastAsia="zh-CN"/>
        </w:rPr>
        <w:t>十</w:t>
      </w:r>
      <w:r>
        <w:rPr>
          <w:rFonts w:hint="default" w:ascii="Times New Roman" w:hAnsi="Times New Roman" w:eastAsia="黑体" w:cs="Times New Roman"/>
          <w:b w:val="0"/>
          <w:sz w:val="28"/>
          <w:szCs w:val="28"/>
          <w:highlight w:val="none"/>
        </w:rPr>
        <w:t>、其他</w:t>
      </w:r>
      <w:bookmarkEnd w:id="1567"/>
      <w:r>
        <w:rPr>
          <w:rFonts w:hint="default" w:ascii="Times New Roman" w:hAnsi="Times New Roman" w:eastAsia="黑体" w:cs="Times New Roman"/>
          <w:b w:val="0"/>
          <w:sz w:val="28"/>
          <w:szCs w:val="28"/>
          <w:highlight w:val="none"/>
          <w:lang w:eastAsia="zh-CN"/>
        </w:rPr>
        <w:t>资料</w:t>
      </w:r>
      <w:bookmarkEnd w:id="1568"/>
      <w:bookmarkEnd w:id="1569"/>
    </w:p>
    <w:p w14:paraId="4E74B45C">
      <w:pPr>
        <w:pageBreakBefore w:val="0"/>
        <w:kinsoku/>
        <w:wordWrap w:val="0"/>
        <w:bidi w:val="0"/>
        <w:spacing w:line="440" w:lineRule="exact"/>
        <w:rPr>
          <w:rFonts w:hint="default" w:ascii="Times New Roman" w:hAnsi="Times New Roman" w:eastAsia="黑体" w:cs="Times New Roman"/>
          <w:sz w:val="20"/>
          <w:szCs w:val="20"/>
          <w:highlight w:val="none"/>
        </w:rPr>
      </w:pPr>
    </w:p>
    <w:p w14:paraId="1D81AF17">
      <w:pPr>
        <w:pageBreakBefore w:val="0"/>
        <w:kinsoku/>
        <w:wordWrap w:val="0"/>
        <w:bidi w:val="0"/>
        <w:spacing w:line="440" w:lineRule="exact"/>
        <w:rPr>
          <w:rFonts w:hint="default" w:ascii="Times New Roman" w:hAnsi="Times New Roman" w:eastAsia="黑体" w:cs="Times New Roman"/>
          <w:sz w:val="20"/>
          <w:szCs w:val="20"/>
          <w:highlight w:val="none"/>
        </w:rPr>
      </w:pPr>
    </w:p>
    <w:p w14:paraId="71D6BE4E">
      <w:pPr>
        <w:pageBreakBefore w:val="0"/>
        <w:kinsoku/>
        <w:wordWrap w:val="0"/>
        <w:bidi w:val="0"/>
        <w:spacing w:line="440" w:lineRule="exact"/>
        <w:rPr>
          <w:rFonts w:hint="default" w:ascii="Times New Roman" w:hAnsi="Times New Roman" w:eastAsia="黑体" w:cs="Times New Roman"/>
          <w:sz w:val="20"/>
          <w:szCs w:val="20"/>
          <w:highlight w:val="none"/>
        </w:rPr>
      </w:pPr>
    </w:p>
    <w:p w14:paraId="08211F81">
      <w:pPr>
        <w:pageBreakBefore w:val="0"/>
        <w:kinsoku/>
        <w:wordWrap w:val="0"/>
        <w:bidi w:val="0"/>
        <w:spacing w:line="440" w:lineRule="exact"/>
        <w:rPr>
          <w:rFonts w:hint="default" w:ascii="Times New Roman" w:hAnsi="Times New Roman" w:eastAsia="黑体" w:cs="Times New Roman"/>
          <w:sz w:val="20"/>
          <w:szCs w:val="20"/>
          <w:highlight w:val="none"/>
        </w:rPr>
      </w:pPr>
    </w:p>
    <w:p w14:paraId="5004F7C6">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22264E52">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03E7CDA9">
      <w:pPr>
        <w:pageBreakBefore w:val="0"/>
        <w:kinsoku/>
        <w:wordWrap w:val="0"/>
        <w:bidi w:val="0"/>
        <w:spacing w:line="440" w:lineRule="exact"/>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val="en-US" w:eastAsia="zh-CN"/>
        </w:rPr>
        <w:t>施工招标</w:t>
      </w:r>
    </w:p>
    <w:p w14:paraId="718FAA7A">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7F1F3FFB">
      <w:pPr>
        <w:pageBreakBefore w:val="0"/>
        <w:kinsoku/>
        <w:wordWrap w:val="0"/>
        <w:bidi w:val="0"/>
        <w:spacing w:line="440" w:lineRule="exact"/>
        <w:rPr>
          <w:rFonts w:hint="default" w:ascii="Times New Roman" w:hAnsi="Times New Roman" w:eastAsia="黑体" w:cs="Times New Roman"/>
          <w:sz w:val="40"/>
          <w:szCs w:val="40"/>
          <w:highlight w:val="none"/>
        </w:rPr>
      </w:pPr>
    </w:p>
    <w:p w14:paraId="2D7CA93D">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1D0C019">
      <w:pPr>
        <w:pStyle w:val="16"/>
        <w:rPr>
          <w:rFonts w:hint="default" w:ascii="Times New Roman" w:hAnsi="Times New Roman" w:eastAsia="黑体" w:cs="Times New Roman"/>
          <w:sz w:val="40"/>
          <w:szCs w:val="40"/>
          <w:highlight w:val="none"/>
        </w:rPr>
      </w:pPr>
    </w:p>
    <w:p w14:paraId="275C83D4">
      <w:pPr>
        <w:pStyle w:val="16"/>
        <w:rPr>
          <w:rFonts w:hint="default" w:ascii="Times New Roman" w:hAnsi="Times New Roman" w:eastAsia="黑体" w:cs="Times New Roman"/>
          <w:sz w:val="40"/>
          <w:szCs w:val="40"/>
          <w:highlight w:val="none"/>
        </w:rPr>
      </w:pPr>
    </w:p>
    <w:p w14:paraId="184C436A">
      <w:pPr>
        <w:pStyle w:val="16"/>
        <w:rPr>
          <w:rFonts w:hint="default" w:ascii="Times New Roman" w:hAnsi="Times New Roman" w:eastAsia="黑体" w:cs="Times New Roman"/>
          <w:sz w:val="40"/>
          <w:szCs w:val="40"/>
          <w:highlight w:val="none"/>
        </w:rPr>
      </w:pPr>
    </w:p>
    <w:p w14:paraId="4DC1265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E4ACB1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72"/>
          <w:szCs w:val="72"/>
          <w:highlight w:val="none"/>
        </w:rPr>
      </w:pPr>
      <w:bookmarkStart w:id="1570" w:name="_Toc9419"/>
      <w:bookmarkStart w:id="1571" w:name="_Toc23196"/>
      <w:bookmarkStart w:id="1572" w:name="_Toc11826"/>
      <w:bookmarkStart w:id="1573" w:name="_Toc17055"/>
      <w:r>
        <w:rPr>
          <w:rFonts w:hint="default" w:ascii="Times New Roman" w:hAnsi="Times New Roman" w:eastAsia="黑体" w:cs="Times New Roman"/>
          <w:b w:val="0"/>
          <w:sz w:val="72"/>
          <w:szCs w:val="72"/>
          <w:highlight w:val="none"/>
        </w:rPr>
        <w:t>投  标  文  件</w:t>
      </w:r>
      <w:bookmarkEnd w:id="1570"/>
      <w:bookmarkEnd w:id="1571"/>
      <w:bookmarkEnd w:id="1572"/>
      <w:bookmarkEnd w:id="1573"/>
    </w:p>
    <w:p w14:paraId="7FF821A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30"/>
          <w:szCs w:val="30"/>
          <w:highlight w:val="none"/>
        </w:rPr>
      </w:pPr>
      <w:bookmarkStart w:id="1574" w:name="_Toc6104"/>
      <w:bookmarkStart w:id="1575" w:name="_Toc27018"/>
      <w:bookmarkStart w:id="1576" w:name="_Toc5781"/>
      <w:bookmarkStart w:id="1577" w:name="_Toc16866"/>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第二个信封 </w:t>
      </w:r>
      <w:r>
        <w:rPr>
          <w:rFonts w:hint="default" w:ascii="Times New Roman" w:hAnsi="Times New Roman" w:eastAsia="黑体" w:cs="Times New Roman"/>
          <w:b w:val="0"/>
          <w:sz w:val="32"/>
          <w:szCs w:val="32"/>
          <w:highlight w:val="none"/>
        </w:rPr>
        <w:t>报价文件）</w:t>
      </w:r>
      <w:bookmarkEnd w:id="1574"/>
      <w:bookmarkEnd w:id="1575"/>
      <w:bookmarkEnd w:id="1576"/>
      <w:bookmarkEnd w:id="1577"/>
    </w:p>
    <w:p w14:paraId="267046E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2677B41">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5DF22ED5">
      <w:pPr>
        <w:pageBreakBefore w:val="0"/>
        <w:kinsoku/>
        <w:wordWrap w:val="0"/>
        <w:bidi w:val="0"/>
        <w:spacing w:line="440" w:lineRule="exact"/>
        <w:rPr>
          <w:rFonts w:hint="default" w:ascii="Times New Roman" w:hAnsi="Times New Roman" w:eastAsia="黑体" w:cs="Times New Roman"/>
          <w:sz w:val="20"/>
          <w:szCs w:val="20"/>
          <w:highlight w:val="none"/>
        </w:rPr>
      </w:pPr>
    </w:p>
    <w:p w14:paraId="282C2E6D">
      <w:pPr>
        <w:pageBreakBefore w:val="0"/>
        <w:kinsoku/>
        <w:wordWrap w:val="0"/>
        <w:bidi w:val="0"/>
        <w:spacing w:line="440" w:lineRule="exact"/>
        <w:rPr>
          <w:rFonts w:hint="default" w:ascii="Times New Roman" w:hAnsi="Times New Roman" w:eastAsia="黑体" w:cs="Times New Roman"/>
          <w:sz w:val="20"/>
          <w:szCs w:val="20"/>
          <w:highlight w:val="none"/>
        </w:rPr>
      </w:pPr>
    </w:p>
    <w:p w14:paraId="300EF575">
      <w:pPr>
        <w:pageBreakBefore w:val="0"/>
        <w:kinsoku/>
        <w:wordWrap w:val="0"/>
        <w:bidi w:val="0"/>
        <w:spacing w:line="440" w:lineRule="exact"/>
        <w:rPr>
          <w:rFonts w:hint="default" w:ascii="Times New Roman" w:hAnsi="Times New Roman" w:eastAsia="黑体" w:cs="Times New Roman"/>
          <w:sz w:val="20"/>
          <w:szCs w:val="20"/>
          <w:highlight w:val="none"/>
        </w:rPr>
      </w:pPr>
    </w:p>
    <w:p w14:paraId="37262A4C">
      <w:pPr>
        <w:pageBreakBefore w:val="0"/>
        <w:kinsoku/>
        <w:wordWrap w:val="0"/>
        <w:bidi w:val="0"/>
        <w:spacing w:line="440" w:lineRule="exact"/>
        <w:rPr>
          <w:rFonts w:hint="default" w:ascii="Times New Roman" w:hAnsi="Times New Roman" w:eastAsia="黑体" w:cs="Times New Roman"/>
          <w:sz w:val="20"/>
          <w:szCs w:val="20"/>
          <w:highlight w:val="none"/>
        </w:rPr>
      </w:pPr>
    </w:p>
    <w:p w14:paraId="736B1A5B">
      <w:pPr>
        <w:pageBreakBefore w:val="0"/>
        <w:kinsoku/>
        <w:wordWrap w:val="0"/>
        <w:bidi w:val="0"/>
        <w:spacing w:line="440" w:lineRule="exact"/>
        <w:rPr>
          <w:rFonts w:hint="default" w:ascii="Times New Roman" w:hAnsi="Times New Roman" w:eastAsia="黑体" w:cs="Times New Roman"/>
          <w:sz w:val="20"/>
          <w:szCs w:val="20"/>
          <w:highlight w:val="none"/>
        </w:rPr>
      </w:pPr>
    </w:p>
    <w:p w14:paraId="59FE3484">
      <w:pPr>
        <w:pageBreakBefore w:val="0"/>
        <w:kinsoku/>
        <w:wordWrap w:val="0"/>
        <w:bidi w:val="0"/>
        <w:spacing w:line="440" w:lineRule="exact"/>
        <w:rPr>
          <w:rFonts w:hint="default" w:ascii="Times New Roman" w:hAnsi="Times New Roman" w:eastAsia="黑体" w:cs="Times New Roman"/>
          <w:sz w:val="20"/>
          <w:szCs w:val="20"/>
          <w:highlight w:val="none"/>
        </w:rPr>
      </w:pPr>
    </w:p>
    <w:p w14:paraId="509B2CFC">
      <w:pPr>
        <w:pageBreakBefore w:val="0"/>
        <w:kinsoku/>
        <w:wordWrap w:val="0"/>
        <w:bidi w:val="0"/>
        <w:spacing w:line="440" w:lineRule="exact"/>
        <w:rPr>
          <w:rFonts w:hint="default" w:ascii="Times New Roman" w:hAnsi="Times New Roman" w:eastAsia="黑体" w:cs="Times New Roman"/>
          <w:sz w:val="20"/>
          <w:szCs w:val="20"/>
          <w:highlight w:val="none"/>
        </w:rPr>
      </w:pPr>
    </w:p>
    <w:p w14:paraId="6504F42F">
      <w:pPr>
        <w:pageBreakBefore w:val="0"/>
        <w:kinsoku/>
        <w:wordWrap w:val="0"/>
        <w:bidi w:val="0"/>
        <w:spacing w:line="440" w:lineRule="exact"/>
        <w:rPr>
          <w:rFonts w:hint="default" w:ascii="Times New Roman" w:hAnsi="Times New Roman" w:eastAsia="黑体" w:cs="Times New Roman"/>
          <w:sz w:val="20"/>
          <w:szCs w:val="20"/>
          <w:highlight w:val="none"/>
        </w:rPr>
      </w:pPr>
    </w:p>
    <w:p w14:paraId="4A34040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lang w:eastAsia="zh-CN"/>
        </w:rPr>
        <w:t>盖单位电子印章</w:t>
      </w:r>
      <w:r>
        <w:rPr>
          <w:rFonts w:hint="default" w:ascii="Times New Roman" w:hAnsi="Times New Roman" w:eastAsia="黑体" w:cs="Times New Roman"/>
          <w:sz w:val="28"/>
          <w:szCs w:val="28"/>
          <w:highlight w:val="none"/>
        </w:rPr>
        <w:t>）</w:t>
      </w:r>
    </w:p>
    <w:p w14:paraId="2240756B">
      <w:pPr>
        <w:pageBreakBefore w:val="0"/>
        <w:kinsoku/>
        <w:wordWrap w:val="0"/>
        <w:bidi w:val="0"/>
        <w:spacing w:line="440" w:lineRule="exact"/>
        <w:rPr>
          <w:rFonts w:hint="default" w:ascii="Times New Roman" w:hAnsi="Times New Roman" w:eastAsia="黑体" w:cs="Times New Roman"/>
          <w:sz w:val="28"/>
          <w:szCs w:val="28"/>
          <w:highlight w:val="none"/>
        </w:rPr>
      </w:pPr>
    </w:p>
    <w:p w14:paraId="36090361">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140843B6">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br w:type="page"/>
      </w:r>
    </w:p>
    <w:p w14:paraId="7A91DCEC">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p>
    <w:p w14:paraId="3AA11E74">
      <w:pPr>
        <w:pageBreakBefore w:val="0"/>
        <w:kinsoku/>
        <w:wordWrap w:val="0"/>
        <w:bidi w:val="0"/>
        <w:spacing w:line="440" w:lineRule="exact"/>
        <w:ind w:firstLine="151" w:firstLineChars="50"/>
        <w:jc w:val="center"/>
        <w:rPr>
          <w:rFonts w:hint="default" w:ascii="Times New Roman" w:hAnsi="Times New Roman" w:eastAsia="黑体" w:cs="Times New Roman"/>
          <w:b/>
          <w:sz w:val="30"/>
          <w:szCs w:val="30"/>
          <w:highlight w:val="none"/>
        </w:rPr>
      </w:pPr>
      <w:r>
        <w:rPr>
          <w:rFonts w:hint="default" w:ascii="Times New Roman" w:hAnsi="Times New Roman" w:eastAsia="黑体" w:cs="Times New Roman"/>
          <w:b/>
          <w:sz w:val="30"/>
          <w:szCs w:val="30"/>
          <w:highlight w:val="none"/>
        </w:rPr>
        <w:t>目     录</w:t>
      </w:r>
    </w:p>
    <w:p w14:paraId="1C1D1D6F">
      <w:pPr>
        <w:pageBreakBefore w:val="0"/>
        <w:kinsoku/>
        <w:wordWrap w:val="0"/>
        <w:bidi w:val="0"/>
        <w:spacing w:line="440" w:lineRule="exact"/>
        <w:rPr>
          <w:rFonts w:hint="default" w:ascii="Times New Roman" w:hAnsi="Times New Roman" w:eastAsia="黑体" w:cs="Times New Roman"/>
          <w:sz w:val="20"/>
          <w:szCs w:val="20"/>
          <w:highlight w:val="none"/>
        </w:rPr>
      </w:pPr>
    </w:p>
    <w:p w14:paraId="3358341A">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调价函格式（如有）</w:t>
      </w:r>
    </w:p>
    <w:p w14:paraId="2BB4136C">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w:t>
      </w:r>
    </w:p>
    <w:p w14:paraId="0B69C062">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二、已标价工程量清单</w:t>
      </w:r>
    </w:p>
    <w:p w14:paraId="73B1B4A5">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三、合同用款估算表</w:t>
      </w:r>
    </w:p>
    <w:p w14:paraId="13EFF224">
      <w:pPr>
        <w:pageBreakBefore w:val="0"/>
        <w:kinsoku/>
        <w:wordWrap w:val="0"/>
        <w:bidi w:val="0"/>
        <w:spacing w:line="440" w:lineRule="exact"/>
        <w:ind w:left="1619" w:leftChars="771" w:firstLine="1"/>
        <w:rPr>
          <w:rFonts w:hint="default" w:ascii="Times New Roman" w:hAnsi="Times New Roman" w:cs="Times New Roman"/>
          <w:sz w:val="24"/>
          <w:highlight w:val="none"/>
        </w:rPr>
      </w:pPr>
    </w:p>
    <w:p w14:paraId="324E67F6">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7245E899">
      <w:pPr>
        <w:pageBreakBefore w:val="0"/>
        <w:kinsoku/>
        <w:wordWrap w:val="0"/>
        <w:bidi w:val="0"/>
        <w:spacing w:line="440" w:lineRule="exact"/>
        <w:rPr>
          <w:rFonts w:hint="default" w:ascii="Times New Roman" w:hAnsi="Times New Roman" w:eastAsia="黑体" w:cs="Times New Roman"/>
          <w:sz w:val="20"/>
          <w:szCs w:val="20"/>
          <w:highlight w:val="none"/>
        </w:rPr>
      </w:pPr>
    </w:p>
    <w:p w14:paraId="64A0E821">
      <w:pPr>
        <w:pageBreakBefore w:val="0"/>
        <w:kinsoku/>
        <w:wordWrap w:val="0"/>
        <w:bidi w:val="0"/>
        <w:spacing w:line="440" w:lineRule="exact"/>
        <w:rPr>
          <w:rFonts w:hint="default" w:ascii="Times New Roman" w:hAnsi="Times New Roman" w:eastAsia="黑体" w:cs="Times New Roman"/>
          <w:sz w:val="20"/>
          <w:szCs w:val="20"/>
          <w:highlight w:val="none"/>
        </w:rPr>
      </w:pPr>
    </w:p>
    <w:p w14:paraId="62CC5767">
      <w:pPr>
        <w:pageBreakBefore w:val="0"/>
        <w:kinsoku/>
        <w:wordWrap w:val="0"/>
        <w:bidi w:val="0"/>
        <w:spacing w:line="440" w:lineRule="exact"/>
        <w:rPr>
          <w:rFonts w:hint="default" w:ascii="Times New Roman" w:hAnsi="Times New Roman" w:eastAsia="黑体" w:cs="Times New Roman"/>
          <w:sz w:val="20"/>
          <w:szCs w:val="20"/>
          <w:highlight w:val="none"/>
        </w:rPr>
      </w:pPr>
    </w:p>
    <w:p w14:paraId="48F5F844">
      <w:pPr>
        <w:pageBreakBefore w:val="0"/>
        <w:kinsoku/>
        <w:wordWrap w:val="0"/>
        <w:bidi w:val="0"/>
        <w:spacing w:line="440" w:lineRule="exact"/>
        <w:rPr>
          <w:rFonts w:hint="default" w:ascii="Times New Roman" w:hAnsi="Times New Roman" w:eastAsia="黑体" w:cs="Times New Roman"/>
          <w:sz w:val="20"/>
          <w:szCs w:val="20"/>
          <w:highlight w:val="none"/>
        </w:rPr>
      </w:pPr>
    </w:p>
    <w:p w14:paraId="39D8148F">
      <w:pPr>
        <w:pageBreakBefore w:val="0"/>
        <w:kinsoku/>
        <w:wordWrap w:val="0"/>
        <w:bidi w:val="0"/>
        <w:spacing w:line="440" w:lineRule="exact"/>
        <w:rPr>
          <w:rFonts w:hint="default" w:ascii="Times New Roman" w:hAnsi="Times New Roman" w:eastAsia="黑体" w:cs="Times New Roman"/>
          <w:sz w:val="20"/>
          <w:szCs w:val="20"/>
          <w:highlight w:val="none"/>
        </w:rPr>
      </w:pPr>
    </w:p>
    <w:p w14:paraId="03CE34E8">
      <w:pPr>
        <w:pageBreakBefore w:val="0"/>
        <w:kinsoku/>
        <w:wordWrap w:val="0"/>
        <w:bidi w:val="0"/>
        <w:spacing w:line="440" w:lineRule="exact"/>
        <w:rPr>
          <w:rFonts w:hint="default" w:ascii="Times New Roman" w:hAnsi="Times New Roman" w:eastAsia="黑体" w:cs="Times New Roman"/>
          <w:sz w:val="20"/>
          <w:szCs w:val="20"/>
          <w:highlight w:val="none"/>
        </w:rPr>
      </w:pPr>
    </w:p>
    <w:p w14:paraId="67978B91">
      <w:pPr>
        <w:pageBreakBefore w:val="0"/>
        <w:kinsoku/>
        <w:wordWrap w:val="0"/>
        <w:bidi w:val="0"/>
        <w:spacing w:line="440" w:lineRule="exact"/>
        <w:rPr>
          <w:rFonts w:hint="default" w:ascii="Times New Roman" w:hAnsi="Times New Roman" w:eastAsia="黑体" w:cs="Times New Roman"/>
          <w:sz w:val="20"/>
          <w:szCs w:val="20"/>
          <w:highlight w:val="none"/>
        </w:rPr>
      </w:pPr>
    </w:p>
    <w:p w14:paraId="55A36D7B">
      <w:pPr>
        <w:pageBreakBefore w:val="0"/>
        <w:kinsoku/>
        <w:wordWrap w:val="0"/>
        <w:bidi w:val="0"/>
        <w:spacing w:line="440" w:lineRule="exact"/>
        <w:rPr>
          <w:rFonts w:hint="default" w:ascii="Times New Roman" w:hAnsi="Times New Roman" w:eastAsia="黑体" w:cs="Times New Roman"/>
          <w:sz w:val="20"/>
          <w:szCs w:val="20"/>
          <w:highlight w:val="none"/>
        </w:rPr>
      </w:pPr>
    </w:p>
    <w:p w14:paraId="28EA2C83">
      <w:pPr>
        <w:pageBreakBefore w:val="0"/>
        <w:kinsoku/>
        <w:wordWrap w:val="0"/>
        <w:bidi w:val="0"/>
        <w:spacing w:line="440" w:lineRule="exact"/>
        <w:rPr>
          <w:rFonts w:hint="default" w:ascii="Times New Roman" w:hAnsi="Times New Roman" w:eastAsia="黑体" w:cs="Times New Roman"/>
          <w:sz w:val="20"/>
          <w:szCs w:val="20"/>
          <w:highlight w:val="none"/>
        </w:rPr>
      </w:pPr>
    </w:p>
    <w:p w14:paraId="2D6A595B">
      <w:pPr>
        <w:pageBreakBefore w:val="0"/>
        <w:kinsoku/>
        <w:wordWrap w:val="0"/>
        <w:bidi w:val="0"/>
        <w:spacing w:line="440" w:lineRule="exact"/>
        <w:rPr>
          <w:rFonts w:hint="default" w:ascii="Times New Roman" w:hAnsi="Times New Roman" w:eastAsia="黑体" w:cs="Times New Roman"/>
          <w:sz w:val="20"/>
          <w:szCs w:val="20"/>
          <w:highlight w:val="none"/>
        </w:rPr>
      </w:pPr>
    </w:p>
    <w:p w14:paraId="7BC238B7">
      <w:pPr>
        <w:pageBreakBefore w:val="0"/>
        <w:kinsoku/>
        <w:wordWrap w:val="0"/>
        <w:bidi w:val="0"/>
        <w:spacing w:line="440" w:lineRule="exact"/>
        <w:rPr>
          <w:rFonts w:hint="default" w:ascii="Times New Roman" w:hAnsi="Times New Roman" w:eastAsia="黑体" w:cs="Times New Roman"/>
          <w:sz w:val="20"/>
          <w:szCs w:val="20"/>
          <w:highlight w:val="none"/>
        </w:rPr>
      </w:pPr>
    </w:p>
    <w:p w14:paraId="51DA6AD1">
      <w:pPr>
        <w:pageBreakBefore w:val="0"/>
        <w:kinsoku/>
        <w:wordWrap w:val="0"/>
        <w:bidi w:val="0"/>
        <w:spacing w:line="440" w:lineRule="exact"/>
        <w:rPr>
          <w:rFonts w:hint="default" w:ascii="Times New Roman" w:hAnsi="Times New Roman" w:eastAsia="黑体" w:cs="Times New Roman"/>
          <w:sz w:val="20"/>
          <w:szCs w:val="20"/>
          <w:highlight w:val="none"/>
        </w:rPr>
      </w:pPr>
    </w:p>
    <w:p w14:paraId="61F032D3">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AE15D5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bookmarkStart w:id="1578" w:name="_Toc2064"/>
      <w:bookmarkStart w:id="1579" w:name="_Toc29927"/>
      <w:bookmarkStart w:id="1580" w:name="_Toc6668"/>
      <w:r>
        <w:rPr>
          <w:rFonts w:hint="default" w:ascii="Times New Roman" w:hAnsi="Times New Roman" w:eastAsia="黑体" w:cs="Times New Roman"/>
          <w:b w:val="0"/>
          <w:sz w:val="30"/>
          <w:szCs w:val="30"/>
          <w:highlight w:val="none"/>
        </w:rPr>
        <w:t>调价函格式（如有）</w:t>
      </w:r>
      <w:r>
        <w:rPr>
          <w:rStyle w:val="48"/>
          <w:rFonts w:hint="default" w:ascii="Times New Roman" w:hAnsi="Times New Roman" w:eastAsia="黑体" w:cs="Times New Roman"/>
          <w:sz w:val="30"/>
          <w:szCs w:val="30"/>
          <w:highlight w:val="none"/>
        </w:rPr>
        <w:footnoteReference w:id="43"/>
      </w:r>
      <w:bookmarkEnd w:id="1578"/>
      <w:bookmarkEnd w:id="1579"/>
      <w:bookmarkEnd w:id="1580"/>
    </w:p>
    <w:p w14:paraId="03722AF4">
      <w:pPr>
        <w:pageBreakBefore w:val="0"/>
        <w:kinsoku/>
        <w:wordWrap w:val="0"/>
        <w:bidi w:val="0"/>
        <w:spacing w:line="400" w:lineRule="atLeast"/>
        <w:rPr>
          <w:rFonts w:hint="default" w:ascii="Times New Roman" w:hAnsi="Times New Roman" w:cs="Times New Roman"/>
          <w:sz w:val="24"/>
          <w:highlight w:val="none"/>
        </w:rPr>
      </w:pPr>
    </w:p>
    <w:p w14:paraId="0138706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07E08F6D">
      <w:pPr>
        <w:pageBreakBefore w:val="0"/>
        <w:kinsoku/>
        <w:wordWrap w:val="0"/>
        <w:bidi w:val="0"/>
        <w:spacing w:line="400" w:lineRule="atLeast"/>
        <w:ind w:firstLine="525"/>
        <w:rPr>
          <w:rFonts w:hint="default" w:ascii="Times New Roman" w:hAnsi="Times New Roman" w:cs="Times New Roman"/>
          <w:sz w:val="24"/>
          <w:highlight w:val="none"/>
        </w:rPr>
      </w:pPr>
    </w:p>
    <w:p w14:paraId="5647A8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经我方慎重研究，基于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理由，在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标段施工招标投标函报价人民币（大写）________元（¥________）的基础上进行调价，调价后金额为人民币（大写）________元（¥________），调价后金额为我方最终报价。</w:t>
      </w:r>
    </w:p>
    <w:p w14:paraId="753D78C5">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148FA7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调价后的工程量清单</w:t>
      </w:r>
      <w:r>
        <w:rPr>
          <w:rStyle w:val="48"/>
          <w:rFonts w:hint="default" w:ascii="Times New Roman" w:hAnsi="Times New Roman" w:cs="Times New Roman"/>
          <w:sz w:val="24"/>
          <w:highlight w:val="none"/>
        </w:rPr>
        <w:footnoteReference w:id="44"/>
      </w:r>
      <w:r>
        <w:rPr>
          <w:rFonts w:hint="default" w:ascii="Times New Roman" w:hAnsi="Times New Roman" w:cs="Times New Roman"/>
          <w:sz w:val="24"/>
          <w:highlight w:val="none"/>
        </w:rPr>
        <w:t>附后，否则调价无效。</w:t>
      </w:r>
    </w:p>
    <w:p w14:paraId="5F1D84A9">
      <w:pPr>
        <w:pageBreakBefore w:val="0"/>
        <w:kinsoku/>
        <w:wordWrap w:val="0"/>
        <w:bidi w:val="0"/>
        <w:spacing w:line="400" w:lineRule="atLeast"/>
        <w:rPr>
          <w:rFonts w:hint="default" w:ascii="Times New Roman" w:hAnsi="Times New Roman" w:cs="Times New Roman"/>
          <w:sz w:val="24"/>
          <w:highlight w:val="none"/>
        </w:rPr>
      </w:pPr>
    </w:p>
    <w:p w14:paraId="0639D018">
      <w:pPr>
        <w:pageBreakBefore w:val="0"/>
        <w:kinsoku/>
        <w:wordWrap w:val="0"/>
        <w:bidi w:val="0"/>
        <w:spacing w:line="400" w:lineRule="atLeast"/>
        <w:rPr>
          <w:rFonts w:hint="default" w:ascii="Times New Roman" w:hAnsi="Times New Roman" w:cs="Times New Roman"/>
          <w:sz w:val="24"/>
          <w:highlight w:val="none"/>
        </w:rPr>
      </w:pPr>
    </w:p>
    <w:p w14:paraId="2BD2483A">
      <w:pPr>
        <w:pageBreakBefore w:val="0"/>
        <w:kinsoku/>
        <w:wordWrap w:val="0"/>
        <w:bidi w:val="0"/>
        <w:spacing w:line="400" w:lineRule="atLeast"/>
        <w:rPr>
          <w:rFonts w:hint="default" w:ascii="Times New Roman" w:hAnsi="Times New Roman" w:cs="Times New Roman"/>
          <w:sz w:val="24"/>
          <w:highlight w:val="none"/>
        </w:rPr>
      </w:pPr>
    </w:p>
    <w:p w14:paraId="0699983C">
      <w:pPr>
        <w:pageBreakBefore w:val="0"/>
        <w:kinsoku/>
        <w:wordWrap w:val="0"/>
        <w:bidi w:val="0"/>
        <w:spacing w:line="400" w:lineRule="atLeast"/>
        <w:rPr>
          <w:rFonts w:hint="default" w:ascii="Times New Roman" w:hAnsi="Times New Roman" w:cs="Times New Roman"/>
          <w:sz w:val="24"/>
          <w:highlight w:val="none"/>
        </w:rPr>
      </w:pPr>
    </w:p>
    <w:p w14:paraId="1572DCB1">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（盖单位电子印章）</w:t>
      </w:r>
    </w:p>
    <w:p w14:paraId="3FF66B85">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2AE5AF4">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580A4D1">
      <w:pPr>
        <w:keepNext w:val="0"/>
        <w:keepLines w:val="0"/>
        <w:pageBreakBefore w:val="0"/>
        <w:widowControl w:val="0"/>
        <w:kinsoku/>
        <w:wordWrap w:val="0"/>
        <w:overflowPunct/>
        <w:topLinePunct w:val="0"/>
        <w:autoSpaceDE/>
        <w:autoSpaceDN/>
        <w:bidi w:val="0"/>
        <w:adjustRightInd/>
        <w:snapToGrid/>
        <w:spacing w:before="0" w:after="0" w:line="400" w:lineRule="atLeast"/>
        <w:ind w:firstLine="1260" w:firstLineChars="600"/>
        <w:jc w:val="center"/>
        <w:textAlignment w:val="auto"/>
        <w:outlineLvl w:val="9"/>
        <w:rPr>
          <w:rFonts w:hint="default" w:ascii="Times New Roman" w:hAnsi="Times New Roman" w:cs="Times New Roman"/>
          <w:highlight w:val="none"/>
          <w:lang w:eastAsia="zh-CN"/>
        </w:rPr>
      </w:pPr>
    </w:p>
    <w:p w14:paraId="4B845F58">
      <w:pPr>
        <w:pageBreakBefore w:val="0"/>
        <w:kinsoku/>
        <w:wordWrap w:val="0"/>
        <w:bidi w:val="0"/>
        <w:spacing w:before="0" w:after="0" w:line="400" w:lineRule="atLeast"/>
        <w:jc w:val="center"/>
        <w:outlineLvl w:val="9"/>
        <w:rPr>
          <w:rFonts w:hint="default" w:ascii="Times New Roman" w:hAnsi="Times New Roman" w:cs="Times New Roman"/>
          <w:highlight w:val="none"/>
          <w:lang w:eastAsia="zh-CN"/>
        </w:rPr>
      </w:pPr>
    </w:p>
    <w:p w14:paraId="34F2EDBD">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r>
        <w:rPr>
          <w:rFonts w:hint="default" w:ascii="Times New Roman" w:hAnsi="Times New Roman" w:cs="Times New Roman"/>
          <w:highlight w:val="none"/>
        </w:rPr>
        <w:br w:type="page"/>
      </w:r>
      <w:bookmarkStart w:id="1581" w:name="_Toc4909"/>
      <w:bookmarkStart w:id="1582" w:name="_Toc13802"/>
      <w:bookmarkStart w:id="1583" w:name="_Toc28096"/>
      <w:r>
        <w:rPr>
          <w:rFonts w:hint="default" w:ascii="Times New Roman" w:hAnsi="Times New Roman" w:eastAsia="黑体" w:cs="Times New Roman"/>
          <w:b w:val="0"/>
          <w:sz w:val="30"/>
          <w:szCs w:val="30"/>
          <w:highlight w:val="none"/>
        </w:rPr>
        <w:t>一、投标函</w:t>
      </w:r>
      <w:bookmarkEnd w:id="1581"/>
      <w:bookmarkEnd w:id="1582"/>
      <w:bookmarkEnd w:id="1583"/>
    </w:p>
    <w:p w14:paraId="4FF80B98">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sz w:val="28"/>
          <w:szCs w:val="28"/>
          <w:highlight w:val="none"/>
        </w:rPr>
      </w:pPr>
    </w:p>
    <w:p w14:paraId="06E5623B">
      <w:pPr>
        <w:pageBreakBefore w:val="0"/>
        <w:kinsoku/>
        <w:wordWrap w:val="0"/>
        <w:bidi w:val="0"/>
        <w:spacing w:before="240" w:beforeLines="100" w:after="120" w:afterLines="5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6816C9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标段名称</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施工招标文件的全部内容（含补遗书第___号至第___号），在考察工程现场后，愿意以人民币（大写）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）的投标总报价（或根据招标文件规定修正核实后确定的另一金额，其中，增值税税率为</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），按合同约定实施和完成承包工程，修补工程中的任何缺陷。</w:t>
      </w:r>
    </w:p>
    <w:p w14:paraId="7DB3427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2．在合同协议书正式签署生效之前，本投标函连同你方的中标通知书将构成我们双方之间共同遵守的文件，对双方具有约束力。</w:t>
      </w:r>
    </w:p>
    <w:p w14:paraId="65A479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09729DBB">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71A3801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493D541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2355381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CAFB5F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p>
    <w:p w14:paraId="18502F0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07A3AC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1DD214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p>
    <w:p w14:paraId="089CC33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p>
    <w:p w14:paraId="38BBF723">
      <w:pPr>
        <w:pageBreakBefore w:val="0"/>
        <w:kinsoku/>
        <w:wordWrap w:val="0"/>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rPr>
        <w:br w:type="page"/>
      </w:r>
    </w:p>
    <w:p w14:paraId="5A971E0E">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584" w:name="_Toc30401"/>
      <w:bookmarkStart w:id="1585" w:name="_Toc234833263"/>
      <w:bookmarkStart w:id="1586" w:name="_Toc14806"/>
      <w:bookmarkStart w:id="1587" w:name="_Toc20312"/>
      <w:r>
        <w:rPr>
          <w:rFonts w:hint="default" w:ascii="Times New Roman" w:hAnsi="Times New Roman" w:eastAsia="黑体" w:cs="Times New Roman"/>
          <w:b w:val="0"/>
          <w:sz w:val="28"/>
          <w:szCs w:val="28"/>
          <w:highlight w:val="none"/>
        </w:rPr>
        <w:t>二、已标价工程量清单</w:t>
      </w:r>
      <w:bookmarkEnd w:id="1584"/>
      <w:bookmarkEnd w:id="1585"/>
      <w:bookmarkEnd w:id="1586"/>
      <w:bookmarkEnd w:id="1587"/>
    </w:p>
    <w:p w14:paraId="466A36BF">
      <w:pPr>
        <w:pageBreakBefore w:val="0"/>
        <w:kinsoku/>
        <w:wordWrap w:val="0"/>
        <w:bidi w:val="0"/>
        <w:spacing w:line="440" w:lineRule="exact"/>
        <w:rPr>
          <w:rFonts w:hint="default" w:ascii="Times New Roman" w:hAnsi="Times New Roman" w:eastAsia="黑体" w:cs="Times New Roman"/>
          <w:sz w:val="24"/>
          <w:highlight w:val="none"/>
        </w:rPr>
      </w:pPr>
    </w:p>
    <w:p w14:paraId="28C761A9">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投标人应按照第五章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w:t>
      </w:r>
      <w:r>
        <w:rPr>
          <w:rFonts w:hint="eastAsia" w:ascii="宋体" w:hAnsi="宋体" w:eastAsia="宋体" w:cs="宋体"/>
          <w:sz w:val="24"/>
          <w:highlight w:val="none"/>
        </w:rPr>
        <w:t>”</w:t>
      </w:r>
      <w:r>
        <w:rPr>
          <w:rFonts w:hint="default" w:ascii="Times New Roman" w:hAnsi="Times New Roman" w:cs="Times New Roman"/>
          <w:sz w:val="24"/>
          <w:highlight w:val="none"/>
        </w:rPr>
        <w:t>的要求逐项填报工程量清单，包括工程量清单说明、投标报价说明、计日工说明、其他说明及工程量清单各项表格（工程量清单表5.1～表5.5）。</w:t>
      </w:r>
    </w:p>
    <w:p w14:paraId="66E2D1BC">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588" w:name="_Toc6563"/>
      <w:bookmarkStart w:id="1589" w:name="_Toc13456"/>
      <w:bookmarkStart w:id="1590" w:name="_Toc12105"/>
      <w:bookmarkStart w:id="1591" w:name="_Toc234833274"/>
      <w:r>
        <w:rPr>
          <w:rFonts w:hint="default" w:ascii="Times New Roman" w:hAnsi="Times New Roman" w:eastAsia="黑体" w:cs="Times New Roman"/>
          <w:b w:val="0"/>
          <w:sz w:val="28"/>
          <w:szCs w:val="28"/>
          <w:highlight w:val="none"/>
        </w:rPr>
        <w:t>三、合同用款估算表</w:t>
      </w:r>
      <w:bookmarkEnd w:id="1588"/>
      <w:bookmarkEnd w:id="1589"/>
      <w:bookmarkEnd w:id="1590"/>
      <w:bookmarkEnd w:id="1591"/>
    </w:p>
    <w:p w14:paraId="3A6C7DAE">
      <w:pPr>
        <w:pStyle w:val="81"/>
        <w:pageBreakBefore w:val="0"/>
        <w:kinsoku/>
        <w:wordWrap w:val="0"/>
        <w:bidi w:val="0"/>
        <w:snapToGrid w:val="0"/>
        <w:spacing w:before="0" w:after="0" w:line="400" w:lineRule="atLeast"/>
        <w:jc w:val="center"/>
        <w:rPr>
          <w:rFonts w:hint="default" w:ascii="Times New Roman" w:hAnsi="Times New Roman" w:cs="Times New Roman"/>
          <w:b w:val="0"/>
          <w:highlight w:val="none"/>
        </w:rPr>
      </w:pP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5C9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2D12AA1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从开工月算起的时间</w:t>
            </w:r>
          </w:p>
          <w:p w14:paraId="0723C19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（月）</w:t>
            </w:r>
          </w:p>
        </w:tc>
        <w:tc>
          <w:tcPr>
            <w:tcW w:w="6191" w:type="dxa"/>
            <w:gridSpan w:val="4"/>
            <w:tcBorders>
              <w:left w:val="single" w:color="auto" w:sz="6" w:space="0"/>
            </w:tcBorders>
            <w:noWrap w:val="0"/>
            <w:vAlign w:val="center"/>
          </w:tcPr>
          <w:p w14:paraId="00BA611A">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投标人的估算</w:t>
            </w:r>
          </w:p>
        </w:tc>
      </w:tr>
      <w:tr w14:paraId="575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3D72EEC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210169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     期</w:t>
            </w:r>
          </w:p>
        </w:tc>
        <w:tc>
          <w:tcPr>
            <w:tcW w:w="3096" w:type="dxa"/>
            <w:gridSpan w:val="2"/>
            <w:tcBorders>
              <w:left w:val="single" w:color="auto" w:sz="6" w:space="0"/>
            </w:tcBorders>
            <w:noWrap w:val="0"/>
            <w:vAlign w:val="center"/>
          </w:tcPr>
          <w:p w14:paraId="691A0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累     计</w:t>
            </w:r>
          </w:p>
        </w:tc>
      </w:tr>
      <w:tr w14:paraId="0A7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5E373C0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tcBorders>
              <w:top w:val="single" w:color="auto" w:sz="6" w:space="0"/>
              <w:left w:val="single" w:color="auto" w:sz="6" w:space="0"/>
            </w:tcBorders>
            <w:noWrap w:val="0"/>
            <w:vAlign w:val="center"/>
          </w:tcPr>
          <w:p w14:paraId="2FA22D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tcBorders>
              <w:top w:val="single" w:color="auto" w:sz="6" w:space="0"/>
            </w:tcBorders>
            <w:noWrap w:val="0"/>
            <w:vAlign w:val="center"/>
          </w:tcPr>
          <w:p w14:paraId="652A09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8" w:type="dxa"/>
            <w:noWrap w:val="0"/>
            <w:vAlign w:val="center"/>
          </w:tcPr>
          <w:p w14:paraId="4F056F7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noWrap w:val="0"/>
            <w:vAlign w:val="center"/>
          </w:tcPr>
          <w:p w14:paraId="21EBA58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5B3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96225C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第一次开工预付款</w:t>
            </w:r>
          </w:p>
        </w:tc>
        <w:tc>
          <w:tcPr>
            <w:tcW w:w="1547" w:type="dxa"/>
            <w:noWrap w:val="0"/>
            <w:vAlign w:val="center"/>
          </w:tcPr>
          <w:p w14:paraId="01ECF3C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1A5C13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3F537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C3B1A4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5CAC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CDA370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 ~ 3</w:t>
            </w:r>
          </w:p>
        </w:tc>
        <w:tc>
          <w:tcPr>
            <w:tcW w:w="1547" w:type="dxa"/>
            <w:noWrap w:val="0"/>
            <w:vAlign w:val="center"/>
          </w:tcPr>
          <w:p w14:paraId="7766A4B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B8B361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C144B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00BE30A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90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45DBF8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 ~ 6</w:t>
            </w:r>
          </w:p>
        </w:tc>
        <w:tc>
          <w:tcPr>
            <w:tcW w:w="1547" w:type="dxa"/>
            <w:noWrap w:val="0"/>
            <w:vAlign w:val="center"/>
          </w:tcPr>
          <w:p w14:paraId="0C0F0C8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CD9ED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E4F9C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961D7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CF5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DF87C4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 ~ 9</w:t>
            </w:r>
          </w:p>
        </w:tc>
        <w:tc>
          <w:tcPr>
            <w:tcW w:w="1547" w:type="dxa"/>
            <w:noWrap w:val="0"/>
            <w:vAlign w:val="center"/>
          </w:tcPr>
          <w:p w14:paraId="75655A6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188E01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2130DA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F07E2B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8A096A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 ~ 12</w:t>
            </w:r>
          </w:p>
        </w:tc>
        <w:tc>
          <w:tcPr>
            <w:tcW w:w="1547" w:type="dxa"/>
            <w:noWrap w:val="0"/>
            <w:vAlign w:val="center"/>
          </w:tcPr>
          <w:p w14:paraId="324F997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DAA9C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B72F52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AD6C36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045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F54BF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 ~ 15</w:t>
            </w:r>
          </w:p>
        </w:tc>
        <w:tc>
          <w:tcPr>
            <w:tcW w:w="1547" w:type="dxa"/>
            <w:noWrap w:val="0"/>
            <w:vAlign w:val="center"/>
          </w:tcPr>
          <w:p w14:paraId="6756A30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62928C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7337B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3F33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650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B6CA87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2079520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A45BE4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FBCB9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6EF61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3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60E0BC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42B54CA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25F4CE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CE509C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B9750F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191A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77BFD1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noWrap w:val="0"/>
            <w:vAlign w:val="center"/>
          </w:tcPr>
          <w:p w14:paraId="56867EC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BFADB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833131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8E83E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391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8EDED5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547" w:type="dxa"/>
            <w:noWrap w:val="0"/>
            <w:vAlign w:val="center"/>
          </w:tcPr>
          <w:p w14:paraId="59B18F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40FC36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4E8A4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FC7DB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7169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A308F3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      计</w:t>
            </w:r>
          </w:p>
        </w:tc>
        <w:tc>
          <w:tcPr>
            <w:tcW w:w="1547" w:type="dxa"/>
            <w:noWrap w:val="0"/>
            <w:vAlign w:val="center"/>
          </w:tcPr>
          <w:p w14:paraId="772F462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C3E8DC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100.00</w:t>
            </w:r>
          </w:p>
        </w:tc>
        <w:tc>
          <w:tcPr>
            <w:tcW w:w="1548" w:type="dxa"/>
            <w:noWrap w:val="0"/>
            <w:vAlign w:val="center"/>
          </w:tcPr>
          <w:p w14:paraId="3E9F2B8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6B7BF0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64B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6B8F66E8">
            <w:pPr>
              <w:pStyle w:val="26"/>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投标价：</w:t>
            </w:r>
          </w:p>
        </w:tc>
      </w:tr>
      <w:tr w14:paraId="138A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5EEFE764">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说</w:t>
            </w:r>
          </w:p>
          <w:p w14:paraId="129198AD">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30325399">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87B3B3C">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7A826878">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明</w:t>
            </w:r>
          </w:p>
        </w:tc>
        <w:tc>
          <w:tcPr>
            <w:tcW w:w="8216" w:type="dxa"/>
            <w:gridSpan w:val="5"/>
            <w:noWrap w:val="0"/>
            <w:vAlign w:val="center"/>
          </w:tcPr>
          <w:p w14:paraId="695107D5">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6BEDF48">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1B6E97C4">
            <w:pPr>
              <w:pageBreakBefore w:val="0"/>
              <w:kinsoku/>
              <w:wordWrap w:val="0"/>
              <w:bidi w:val="0"/>
              <w:snapToGrid w:val="0"/>
              <w:spacing w:line="400" w:lineRule="atLeast"/>
              <w:jc w:val="center"/>
              <w:rPr>
                <w:rFonts w:hint="default" w:ascii="Times New Roman" w:hAnsi="Times New Roman" w:cs="Times New Roman"/>
                <w:szCs w:val="21"/>
                <w:highlight w:val="none"/>
              </w:rPr>
            </w:pPr>
          </w:p>
        </w:tc>
      </w:tr>
    </w:tbl>
    <w:p w14:paraId="0F8183D1">
      <w:pPr>
        <w:pageBreakBefore w:val="0"/>
        <w:kinsoku/>
        <w:wordWrap w:val="0"/>
        <w:bidi w:val="0"/>
        <w:snapToGrid w:val="0"/>
        <w:spacing w:line="340" w:lineRule="atLeast"/>
        <w:ind w:left="894" w:leftChars="100" w:hanging="684" w:hangingChars="326"/>
        <w:rPr>
          <w:rFonts w:hint="default" w:ascii="Times New Roman" w:hAnsi="Times New Roman" w:cs="Times New Roman"/>
          <w:szCs w:val="21"/>
          <w:highlight w:val="none"/>
        </w:rPr>
      </w:pPr>
      <w:r>
        <w:rPr>
          <w:rFonts w:hint="default" w:ascii="Times New Roman" w:hAnsi="Times New Roman" w:cs="Times New Roman"/>
          <w:szCs w:val="21"/>
          <w:highlight w:val="none"/>
        </w:rPr>
        <w:t>注：1.投标人可按工程进度估算并填写本表。</w:t>
      </w:r>
    </w:p>
    <w:p w14:paraId="17C6C369">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2.用款额按所报单价和总额价估算，不包括价格调整和暂列金额、暂估价，但应考虑开工预付款的扣回以及签发付款证书后到实际支付的时间间隔。</w:t>
      </w:r>
    </w:p>
    <w:p w14:paraId="0FD8B7FC">
      <w:pPr>
        <w:pageBreakBefore w:val="0"/>
        <w:kinsoku/>
        <w:wordWrap w:val="0"/>
        <w:bidi w:val="0"/>
        <w:spacing w:line="400" w:lineRule="atLeast"/>
        <w:ind w:firstLine="480" w:firstLineChars="200"/>
        <w:rPr>
          <w:rFonts w:hint="default" w:ascii="Times New Roman" w:hAnsi="Times New Roman" w:cs="Times New Roman"/>
          <w:sz w:val="24"/>
          <w:highlight w:val="none"/>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0000012" w:usb3="00000000" w:csb0="4002009F" w:csb1="DFD70000"/>
  </w:font>
  <w:font w:name="Roman">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A8C7">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E2B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69E2B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92">
    <w:pPr>
      <w:pStyle w:val="26"/>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D5F3">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72AD5F3">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42F">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E9D1">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B3E9D1">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0B88">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7327">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4C7327">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B21D">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32B6">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D732B6">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9D">
    <w:pPr>
      <w:pStyle w:val="26"/>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B07">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02B07">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FD3">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6701">
                          <w:pPr>
                            <w:pStyle w:val="2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C26701">
                    <w:pPr>
                      <w:pStyle w:val="2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D5AF">
    <w:pPr>
      <w:spacing w:line="196" w:lineRule="auto"/>
      <w:ind w:left="45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BC8C3">
                          <w:pPr>
                            <w:pStyle w:val="2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72BC8C3">
                    <w:pPr>
                      <w:pStyle w:val="2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A737">
    <w:pPr>
      <w:pStyle w:val="26"/>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5B944">
                          <w:pPr>
                            <w:pStyle w:val="26"/>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C05B944">
                    <w:pPr>
                      <w:pStyle w:val="26"/>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E6D3">
    <w:pPr>
      <w:pStyle w:val="2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B8A">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29C7B8A">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CA08">
    <w:pPr>
      <w:pStyle w:val="2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5EDA">
                          <w:pPr>
                            <w:pStyle w:val="2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0D5EDA">
                    <w:pPr>
                      <w:pStyle w:val="2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EF4">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74A">
    <w:pPr>
      <w:pStyle w:val="26"/>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00CB">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A000CB">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ECC0">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8668E">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A8668E">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1D3A">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2421">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AB2421">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9405">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6C32">
                          <w:pPr>
                            <w:pStyle w:val="26"/>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CA6C32">
                    <w:pPr>
                      <w:pStyle w:val="26"/>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905">
    <w:pPr>
      <w:pStyle w:val="26"/>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7973">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7397973">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88B">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6A96">
                          <w:pPr>
                            <w:pStyle w:val="2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C76A96">
                    <w:pPr>
                      <w:pStyle w:val="26"/>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EC1">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25C5">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B225C5">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E9A7">
    <w:pPr>
      <w:pStyle w:val="26"/>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44C8">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B3344C8">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CC4">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802F">
                          <w:pPr>
                            <w:pStyle w:val="26"/>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81802F">
                    <w:pPr>
                      <w:pStyle w:val="26"/>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FA2C">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66E9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1166E9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177A">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A29">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105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D0105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AD42">
    <w:pPr>
      <w:pStyle w:val="2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336B">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A336B">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85FC">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7D25B">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0E7D25B">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28D1">
    <w:pPr>
      <w:pStyle w:val="2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29E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06529E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8B3E">
    <w:pPr>
      <w:pStyle w:val="26"/>
      <w:rPr>
        <w:rStyle w:val="44"/>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14A7">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6014A7">
                    <w:pPr>
                      <w:pStyle w:val="26"/>
                    </w:pPr>
                    <w:r>
                      <w:fldChar w:fldCharType="begin"/>
                    </w:r>
                    <w:r>
                      <w:instrText xml:space="preserve"> PAGE  \* MERGEFORMAT </w:instrText>
                    </w:r>
                    <w:r>
                      <w:fldChar w:fldCharType="separate"/>
                    </w:r>
                    <w:r>
                      <w:t>3</w:t>
                    </w:r>
                    <w:r>
                      <w:fldChar w:fldCharType="end"/>
                    </w:r>
                  </w:p>
                </w:txbxContent>
              </v:textbox>
            </v:shape>
          </w:pict>
        </mc:Fallback>
      </mc:AlternateContent>
    </w:r>
  </w:p>
  <w:p w14:paraId="126D1AB7">
    <w:pPr>
      <w:pStyle w:val="26"/>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0">
    <w:p>
      <w:r>
        <w:separator/>
      </w:r>
    </w:p>
  </w:footnote>
  <w:footnote w:type="continuationSeparator" w:id="91">
    <w:p>
      <w:r>
        <w:continuationSeparator/>
      </w:r>
    </w:p>
  </w:footnote>
  <w:footnote w:id="0">
    <w:p w14:paraId="63149339">
      <w:pPr>
        <w:pStyle w:val="30"/>
        <w:spacing w:line="300" w:lineRule="atLeast"/>
        <w:ind w:left="180" w:hanging="180" w:hangingChars="100"/>
        <w:jc w:val="both"/>
        <w:rPr>
          <w:rFonts w:hint="eastAsia"/>
          <w:szCs w:val="18"/>
        </w:rPr>
      </w:pPr>
      <w:r>
        <w:rPr>
          <w:rStyle w:val="48"/>
          <w:szCs w:val="18"/>
        </w:rPr>
        <w:footnoteRef/>
      </w:r>
      <w:r>
        <w:rPr>
          <w:rFonts w:hint="eastAsia"/>
          <w:szCs w:val="18"/>
        </w:rPr>
        <w:t xml:space="preserve"> 招标人可根据项目具体特点和实际需要对本章内容进行补充、细化，但应遵守《中华人民共和国招标投标法》第十六条</w:t>
      </w:r>
      <w:r>
        <w:rPr>
          <w:rFonts w:hint="eastAsia"/>
          <w:szCs w:val="18"/>
          <w:lang w:eastAsia="zh-CN"/>
        </w:rPr>
        <w:t>、</w:t>
      </w:r>
      <w:r>
        <w:rPr>
          <w:rFonts w:hint="eastAsia"/>
          <w:szCs w:val="18"/>
        </w:rPr>
        <w:t>《招标公告和公示信息发布管理办法》</w:t>
      </w:r>
      <w:r>
        <w:rPr>
          <w:rFonts w:hint="eastAsia"/>
          <w:szCs w:val="18"/>
          <w:lang w:eastAsia="zh-CN"/>
        </w:rPr>
        <w:t>、《辽宁省交通运输厅关于进一步规范全省公路工程招标投标活动的意见》</w:t>
      </w:r>
      <w:r>
        <w:rPr>
          <w:rFonts w:hint="eastAsia"/>
          <w:szCs w:val="18"/>
        </w:rPr>
        <w:t>等有关法律法规、部门规章和行政规范性文件的规定。</w:t>
      </w:r>
    </w:p>
  </w:footnote>
  <w:footnote w:id="1">
    <w:p w14:paraId="16E698E1">
      <w:pPr>
        <w:pStyle w:val="30"/>
        <w:spacing w:line="280" w:lineRule="atLeast"/>
        <w:ind w:left="180" w:hanging="180" w:hangingChars="100"/>
        <w:rPr>
          <w:rFonts w:hint="eastAsia"/>
          <w:szCs w:val="18"/>
        </w:rPr>
      </w:pPr>
      <w:r>
        <w:rPr>
          <w:rStyle w:val="48"/>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747EF1B9">
      <w:pPr>
        <w:pStyle w:val="30"/>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432519F">
      <w:pPr>
        <w:pStyle w:val="30"/>
        <w:spacing w:line="280" w:lineRule="atLeast"/>
        <w:ind w:left="180" w:hanging="180" w:hangingChars="100"/>
        <w:rPr>
          <w:szCs w:val="18"/>
        </w:rPr>
      </w:pPr>
      <w:r>
        <w:rPr>
          <w:rStyle w:val="48"/>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3">
    <w:p w14:paraId="1E613554">
      <w:pPr>
        <w:pStyle w:val="30"/>
        <w:spacing w:line="280" w:lineRule="atLeast"/>
        <w:ind w:left="180" w:hanging="180" w:hangingChars="100"/>
        <w:rPr>
          <w:rFonts w:hint="eastAsia"/>
          <w:szCs w:val="18"/>
        </w:rPr>
      </w:pPr>
      <w:r>
        <w:rPr>
          <w:rStyle w:val="48"/>
          <w:szCs w:val="18"/>
        </w:rPr>
        <w:footnoteRef/>
      </w:r>
      <w:r>
        <w:rPr>
          <w:szCs w:val="18"/>
        </w:rPr>
        <w:t xml:space="preserve"> </w:t>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4">
    <w:p w14:paraId="3261E79F">
      <w:pPr>
        <w:pStyle w:val="30"/>
        <w:spacing w:line="320" w:lineRule="atLeast"/>
        <w:ind w:left="180" w:hanging="180" w:hangingChars="100"/>
        <w:rPr>
          <w:rFonts w:hint="eastAsia"/>
          <w:szCs w:val="18"/>
        </w:rPr>
      </w:pPr>
      <w:r>
        <w:rPr>
          <w:rStyle w:val="48"/>
          <w:szCs w:val="18"/>
        </w:rPr>
        <w:footnoteRef/>
      </w:r>
      <w:r>
        <w:rPr>
          <w:szCs w:val="18"/>
        </w:rPr>
        <w:t xml:space="preserve"> </w:t>
      </w:r>
      <w:r>
        <w:rPr>
          <w:rFonts w:hint="eastAsia"/>
          <w:szCs w:val="18"/>
        </w:rPr>
        <w:t>一般情况下建议招标人不接受调价函。</w:t>
      </w:r>
    </w:p>
  </w:footnote>
  <w:footnote w:id="5">
    <w:p w14:paraId="2CF07C07">
      <w:pPr>
        <w:pStyle w:val="30"/>
        <w:spacing w:line="320" w:lineRule="atLeast"/>
        <w:ind w:left="180" w:hanging="180" w:hangingChars="100"/>
        <w:rPr>
          <w:szCs w:val="18"/>
        </w:rPr>
      </w:pPr>
      <w:r>
        <w:rPr>
          <w:rStyle w:val="48"/>
          <w:szCs w:val="18"/>
        </w:rPr>
        <w:footnoteRef/>
      </w:r>
      <w:r>
        <w:rPr>
          <w:rFonts w:hint="eastAsia"/>
        </w:rPr>
        <w:t xml:space="preserve"> 招标人可根据</w:t>
      </w:r>
      <w:r>
        <w:rPr>
          <w:rFonts w:hint="eastAsia"/>
          <w:lang w:val="en-US" w:eastAsia="zh-CN"/>
        </w:rPr>
        <w:t>辽宁省交通运输厅</w:t>
      </w:r>
      <w:r>
        <w:rPr>
          <w:rFonts w:hint="eastAsia"/>
        </w:rPr>
        <w:t>的有关规定，对信用等级高的投标人，给予减免投标保证金金额的</w:t>
      </w:r>
      <w:r>
        <w:t>优惠</w:t>
      </w:r>
      <w:r>
        <w:rPr>
          <w:rFonts w:hint="eastAsia"/>
        </w:rPr>
        <w:t>。</w:t>
      </w:r>
    </w:p>
  </w:footnote>
  <w:footnote w:id="6">
    <w:p w14:paraId="0B31BC77">
      <w:pPr>
        <w:pStyle w:val="30"/>
        <w:spacing w:line="320" w:lineRule="atLeast"/>
        <w:ind w:left="180" w:hanging="180" w:hangingChars="100"/>
        <w:rPr>
          <w:szCs w:val="18"/>
        </w:rPr>
      </w:pPr>
      <w:r>
        <w:rPr>
          <w:rStyle w:val="48"/>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128E4E43">
      <w:pPr>
        <w:pStyle w:val="30"/>
        <w:spacing w:line="320" w:lineRule="atLeast"/>
        <w:ind w:left="180" w:hanging="180" w:hangingChars="100"/>
        <w:rPr>
          <w:rFonts w:hint="eastAsia"/>
          <w:szCs w:val="18"/>
        </w:rPr>
      </w:pPr>
      <w:r>
        <w:rPr>
          <w:rStyle w:val="48"/>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8">
    <w:p w14:paraId="3066BE29">
      <w:pPr>
        <w:pStyle w:val="30"/>
        <w:spacing w:line="320" w:lineRule="atLeast"/>
        <w:ind w:left="180" w:right="-229" w:rightChars="-109" w:hanging="180" w:hangingChars="100"/>
        <w:rPr>
          <w:szCs w:val="18"/>
        </w:rPr>
      </w:pPr>
      <w:r>
        <w:rPr>
          <w:rStyle w:val="48"/>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1DAF5D2C">
      <w:pPr>
        <w:pStyle w:val="30"/>
        <w:spacing w:line="320" w:lineRule="atLeast"/>
        <w:ind w:left="180" w:hanging="180" w:hangingChars="100"/>
        <w:rPr>
          <w:szCs w:val="18"/>
        </w:rPr>
      </w:pPr>
      <w:r>
        <w:rPr>
          <w:rStyle w:val="48"/>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1990B4DF">
      <w:pPr>
        <w:widowControl w:val="0"/>
        <w:adjustRightInd w:val="0"/>
        <w:snapToGrid w:val="0"/>
        <w:spacing w:line="240" w:lineRule="auto"/>
        <w:ind w:left="180" w:hanging="210" w:hangingChars="100"/>
        <w:jc w:val="both"/>
        <w:textAlignment w:val="baseline"/>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HYPERLINK "https://baike.baidu.com/item/%E4%BF%9D%E9%9A%9C%E5%86%9C%E6%B0%91%E5%B7%A5%E5%B7%A5%E8%B5%84%E6%94%AF%E4%BB%98%E6%9D%A1%E4%BE%8B/23674641?fromModule=lemma-qiyi_sense-lemma"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保障农民工工资支付条例</w:t>
      </w:r>
      <w:r>
        <w:rPr>
          <w:rFonts w:hint="eastAsia" w:ascii="Times New Roman" w:hAnsi="Times New Roman" w:eastAsia="宋体" w:cs="Times New Roman"/>
          <w:kern w:val="0"/>
          <w:sz w:val="18"/>
          <w:szCs w:val="20"/>
          <w:lang w:val="en-US" w:eastAsia="zh-CN" w:bidi="ar-SA"/>
        </w:rPr>
        <w:fldChar w:fldCharType="end"/>
      </w:r>
      <w:r>
        <w:rPr>
          <w:rFonts w:hint="eastAsia" w:ascii="Times New Roman" w:hAnsi="Times New Roman" w:eastAsia="宋体" w:cs="Times New Roman"/>
          <w:kern w:val="0"/>
          <w:sz w:val="18"/>
          <w:szCs w:val="20"/>
          <w:lang w:val="en-US" w:eastAsia="zh-CN" w:bidi="ar-SA"/>
        </w:rPr>
        <w:t>》第2</w:t>
      </w:r>
      <w:r>
        <w:rPr>
          <w:rFonts w:ascii="Times New Roman" w:hAnsi="Times New Roman" w:eastAsia="宋体" w:cs="Times New Roman"/>
          <w:kern w:val="0"/>
          <w:sz w:val="18"/>
          <w:szCs w:val="20"/>
          <w:lang w:val="en-US" w:eastAsia="zh-CN" w:bidi="ar-SA"/>
        </w:rPr>
        <w:t>4</w:t>
      </w:r>
      <w:r>
        <w:rPr>
          <w:rFonts w:hint="eastAsia" w:ascii="Times New Roman" w:hAnsi="Times New Roman" w:eastAsia="宋体" w:cs="Times New Roman"/>
          <w:kern w:val="0"/>
          <w:sz w:val="18"/>
          <w:szCs w:val="20"/>
          <w:lang w:val="en-US" w:eastAsia="zh-CN" w:bidi="ar-SA"/>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45EE5809">
      <w:pPr>
        <w:pStyle w:val="30"/>
        <w:ind w:left="210" w:hanging="210"/>
        <w:rPr>
          <w:rFonts w:hint="eastAsia"/>
          <w:szCs w:val="18"/>
        </w:rPr>
      </w:pPr>
      <w:r>
        <w:rPr>
          <w:rStyle w:val="48"/>
          <w:szCs w:val="18"/>
        </w:rPr>
        <w:footnoteRef/>
      </w:r>
      <w:r>
        <w:rPr>
          <w:rFonts w:hint="eastAsia"/>
          <w:szCs w:val="18"/>
        </w:rPr>
        <w:t xml:space="preserve"> 具体资质要求由招标人在满足国家相关法律法规前提下，根据招标项目具体特点和实际情况确定。</w:t>
      </w:r>
    </w:p>
  </w:footnote>
  <w:footnote w:id="12">
    <w:p w14:paraId="72499CC9">
      <w:pPr>
        <w:pStyle w:val="30"/>
        <w:spacing w:line="240" w:lineRule="auto"/>
        <w:ind w:left="180" w:hanging="180" w:hangingChars="100"/>
        <w:rPr>
          <w:rFonts w:hint="eastAsia"/>
          <w:szCs w:val="18"/>
        </w:rPr>
      </w:pPr>
      <w:r>
        <w:rPr>
          <w:rStyle w:val="48"/>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3">
    <w:p w14:paraId="14E5D92B">
      <w:pPr>
        <w:pStyle w:val="30"/>
        <w:spacing w:line="300" w:lineRule="atLeast"/>
        <w:ind w:left="180" w:hanging="180" w:hangingChars="100"/>
        <w:rPr>
          <w:rFonts w:hint="eastAsia"/>
          <w:szCs w:val="18"/>
        </w:rPr>
      </w:pPr>
      <w:r>
        <w:rPr>
          <w:rStyle w:val="48"/>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14">
    <w:p w14:paraId="2301E775">
      <w:pPr>
        <w:pStyle w:val="30"/>
        <w:ind w:left="210" w:hanging="210"/>
        <w:rPr>
          <w:rFonts w:hint="eastAsia"/>
          <w:szCs w:val="18"/>
        </w:rPr>
      </w:pPr>
      <w:r>
        <w:rPr>
          <w:rStyle w:val="48"/>
          <w:szCs w:val="18"/>
        </w:rPr>
        <w:footnoteRef/>
      </w:r>
      <w:r>
        <w:rPr>
          <w:rFonts w:hint="eastAsia"/>
          <w:szCs w:val="18"/>
        </w:rPr>
        <w:t xml:space="preserve"> </w:t>
      </w:r>
      <w:r>
        <w:rPr>
          <w:rFonts w:hint="eastAsia"/>
        </w:rPr>
        <w:t>具体信誉要求由招标人在满足国家相关法律法规前提下，根据招标项目具体特点和实际情况确定</w:t>
      </w:r>
      <w:r>
        <w:rPr>
          <w:lang w:eastAsia="zh-CN"/>
        </w:rPr>
        <w:t>。</w:t>
      </w:r>
    </w:p>
  </w:footnote>
  <w:footnote w:id="15">
    <w:p w14:paraId="6703540E">
      <w:pPr>
        <w:pStyle w:val="30"/>
        <w:spacing w:line="360" w:lineRule="atLeast"/>
        <w:ind w:left="180" w:hanging="180" w:hangingChars="100"/>
        <w:rPr>
          <w:rFonts w:hint="eastAsia"/>
          <w:szCs w:val="18"/>
        </w:rPr>
      </w:pPr>
      <w:r>
        <w:rPr>
          <w:rStyle w:val="48"/>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footnote>
  <w:footnote w:id="16">
    <w:p w14:paraId="6903C7E9">
      <w:pPr>
        <w:pStyle w:val="30"/>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7">
    <w:p w14:paraId="2494B8CE">
      <w:pPr>
        <w:pStyle w:val="30"/>
        <w:spacing w:line="300" w:lineRule="atLeast"/>
        <w:ind w:left="180" w:hanging="180" w:hangingChars="10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18">
    <w:p w14:paraId="2D11D340">
      <w:pPr>
        <w:pStyle w:val="30"/>
        <w:spacing w:line="320" w:lineRule="atLeast"/>
        <w:ind w:left="180" w:hanging="180" w:hangingChars="100"/>
        <w:rPr>
          <w:rFonts w:hint="eastAsia"/>
        </w:rPr>
      </w:pPr>
      <w:r>
        <w:rPr>
          <w:rStyle w:val="48"/>
        </w:rPr>
        <w:footnoteRef/>
      </w:r>
      <w:r>
        <w:rPr>
          <w:rFonts w:hint="eastAsia"/>
          <w:lang w:eastAsia="zh-CN"/>
        </w:rPr>
        <w:t xml:space="preserve"> </w:t>
      </w:r>
      <w:r>
        <w:rPr>
          <w:rFonts w:hint="eastAsia"/>
        </w:rPr>
        <w:t>本</w:t>
      </w:r>
      <w:r>
        <w:rPr>
          <w:rFonts w:hint="eastAsia"/>
          <w:lang w:eastAsia="zh-CN"/>
        </w:rPr>
        <w:t>项</w:t>
      </w:r>
      <w:r>
        <w:rPr>
          <w:rFonts w:hint="eastAsia"/>
        </w:rPr>
        <w:t>规定仅适用于根据《关于发布公路工程从业企业资质名录的通知》（厅公路字〔2011〕114号）要求，招标人应通过名录对投标人资质条件进行审核的公路施工企业。</w:t>
      </w:r>
    </w:p>
  </w:footnote>
  <w:footnote w:id="19">
    <w:p w14:paraId="7B2AA145">
      <w:pPr>
        <w:pStyle w:val="30"/>
        <w:spacing w:line="340" w:lineRule="atLeast"/>
        <w:ind w:left="210" w:right="-88" w:rightChars="-42" w:hanging="210"/>
        <w:rPr>
          <w:rFonts w:hint="eastAsia"/>
          <w:szCs w:val="18"/>
        </w:rPr>
      </w:pPr>
      <w:r>
        <w:rPr>
          <w:rStyle w:val="48"/>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0">
    <w:p w14:paraId="0DF5C53C">
      <w:pPr>
        <w:pStyle w:val="30"/>
        <w:tabs>
          <w:tab w:val="left" w:pos="3780"/>
        </w:tabs>
        <w:spacing w:line="320" w:lineRule="atLeast"/>
        <w:ind w:left="180" w:hanging="180" w:hangingChars="100"/>
        <w:rPr>
          <w:rFonts w:hint="eastAsia"/>
          <w:szCs w:val="18"/>
        </w:rPr>
      </w:pPr>
      <w:r>
        <w:rPr>
          <w:rStyle w:val="48"/>
          <w:szCs w:val="18"/>
        </w:rPr>
        <w:footnoteRef/>
      </w:r>
      <w:r>
        <w:rPr>
          <w:szCs w:val="18"/>
        </w:rPr>
        <w:t xml:space="preserve"> </w:t>
      </w:r>
      <w:r>
        <w:rPr>
          <w:rFonts w:hint="eastAsia"/>
          <w:szCs w:val="18"/>
        </w:rPr>
        <w:t>招标人可根据</w:t>
      </w:r>
      <w:r>
        <w:rPr>
          <w:rFonts w:hint="eastAsia"/>
          <w:szCs w:val="18"/>
          <w:lang w:eastAsia="zh-CN"/>
        </w:rPr>
        <w:t>实际</w:t>
      </w:r>
      <w:r>
        <w:rPr>
          <w:rFonts w:hint="eastAsia"/>
          <w:szCs w:val="18"/>
        </w:rPr>
        <w:t>需要进行修改。</w:t>
      </w:r>
    </w:p>
  </w:footnote>
  <w:footnote w:id="21">
    <w:p w14:paraId="63164715">
      <w:pPr>
        <w:pStyle w:val="30"/>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投标人仅须在投标文件的澄清或说明上加盖单位章，或由法定代表人或其委托代理人签字</w:t>
      </w:r>
      <w:r>
        <w:rPr>
          <w:rFonts w:hint="eastAsia" w:hAnsi="宋体"/>
          <w:szCs w:val="18"/>
        </w:rPr>
        <w:t>。</w:t>
      </w:r>
    </w:p>
  </w:footnote>
  <w:footnote w:id="22">
    <w:p w14:paraId="79C4D066">
      <w:pPr>
        <w:pStyle w:val="30"/>
        <w:spacing w:line="320" w:lineRule="atLeast"/>
        <w:ind w:left="180" w:hanging="180" w:hangingChars="100"/>
        <w:jc w:val="both"/>
        <w:rPr>
          <w:rFonts w:hint="eastAsia"/>
          <w:szCs w:val="18"/>
        </w:rPr>
      </w:pPr>
      <w:r>
        <w:rPr>
          <w:rStyle w:val="48"/>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3">
    <w:p w14:paraId="794541CE">
      <w:pPr>
        <w:pStyle w:val="30"/>
        <w:spacing w:line="320" w:lineRule="atLeast"/>
        <w:ind w:left="180" w:hanging="180" w:hangingChars="100"/>
        <w:jc w:val="both"/>
        <w:rPr>
          <w:rFonts w:hint="eastAsia"/>
          <w:szCs w:val="18"/>
        </w:rPr>
      </w:pPr>
      <w:r>
        <w:rPr>
          <w:rStyle w:val="48"/>
          <w:szCs w:val="18"/>
        </w:rPr>
        <w:footnoteRef/>
      </w:r>
      <w:r>
        <w:rPr>
          <w:szCs w:val="18"/>
        </w:rPr>
        <w:t xml:space="preserve"> </w:t>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4">
    <w:p w14:paraId="717EC7AA">
      <w:pPr>
        <w:pStyle w:val="30"/>
        <w:spacing w:line="320" w:lineRule="atLeast"/>
        <w:ind w:left="180" w:hanging="180" w:hangingChars="100"/>
        <w:rPr>
          <w:rFonts w:hint="eastAsia"/>
          <w:szCs w:val="18"/>
        </w:rPr>
      </w:pPr>
      <w:r>
        <w:rPr>
          <w:rStyle w:val="48"/>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5">
    <w:p w14:paraId="4A07A97B">
      <w:pPr>
        <w:pStyle w:val="30"/>
        <w:spacing w:line="320" w:lineRule="atLeast"/>
        <w:ind w:left="180" w:hanging="180" w:hangingChars="100"/>
        <w:rPr>
          <w:rFonts w:hint="eastAsia"/>
        </w:rPr>
      </w:pPr>
      <w:r>
        <w:rPr>
          <w:rStyle w:val="48"/>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6">
    <w:p w14:paraId="169F7D79">
      <w:pPr>
        <w:pStyle w:val="30"/>
        <w:spacing w:line="320" w:lineRule="atLeast"/>
        <w:ind w:left="180" w:hanging="180" w:hangingChars="100"/>
        <w:rPr>
          <w:rStyle w:val="48"/>
          <w:szCs w:val="18"/>
        </w:rPr>
      </w:pPr>
      <w:r>
        <w:rPr>
          <w:rStyle w:val="48"/>
          <w:szCs w:val="18"/>
        </w:rPr>
        <w:footnoteRef/>
      </w:r>
      <w:r>
        <w:rPr>
          <w:rFonts w:hint="eastAsia"/>
          <w:szCs w:val="18"/>
        </w:rPr>
        <w:t xml:space="preserve"> 如</w:t>
      </w:r>
      <w:r>
        <w:rPr>
          <w:rStyle w:val="48"/>
          <w:szCs w:val="18"/>
          <w:vertAlign w:val="baseline"/>
        </w:rPr>
        <w:t>本项目招标</w:t>
      </w:r>
      <w:r>
        <w:rPr>
          <w:rStyle w:val="48"/>
          <w:rFonts w:hint="eastAsia"/>
          <w:szCs w:val="18"/>
          <w:vertAlign w:val="baseline"/>
        </w:rPr>
        <w:t>由投标人按照招标人提供的</w:t>
      </w:r>
      <w:r>
        <w:rPr>
          <w:szCs w:val="18"/>
        </w:rPr>
        <w:t>书面</w:t>
      </w:r>
      <w:r>
        <w:rPr>
          <w:rStyle w:val="48"/>
          <w:rFonts w:hint="eastAsia"/>
          <w:szCs w:val="18"/>
          <w:vertAlign w:val="baseline"/>
        </w:rPr>
        <w:t>工程量清单填写</w:t>
      </w:r>
      <w:r>
        <w:rPr>
          <w:rStyle w:val="48"/>
          <w:szCs w:val="18"/>
          <w:vertAlign w:val="baseline"/>
        </w:rPr>
        <w:t>本合同各工程子目的单价、合价和总额价</w:t>
      </w:r>
      <w:r>
        <w:rPr>
          <w:rStyle w:val="48"/>
          <w:rFonts w:hint="eastAsia"/>
          <w:szCs w:val="18"/>
          <w:vertAlign w:val="baseline"/>
        </w:rPr>
        <w:t>，则</w:t>
      </w:r>
      <w:r>
        <w:rPr>
          <w:rStyle w:val="48"/>
          <w:szCs w:val="18"/>
          <w:vertAlign w:val="baseline"/>
        </w:rPr>
        <w:t>评标委员会按照</w:t>
      </w:r>
      <w:r>
        <w:rPr>
          <w:rStyle w:val="48"/>
          <w:rFonts w:hint="eastAsia"/>
          <w:szCs w:val="18"/>
          <w:vertAlign w:val="baseline"/>
        </w:rPr>
        <w:t>本</w:t>
      </w:r>
      <w:r>
        <w:rPr>
          <w:rStyle w:val="48"/>
          <w:szCs w:val="18"/>
          <w:vertAlign w:val="baseline"/>
        </w:rPr>
        <w:t>章</w:t>
      </w:r>
      <w:r>
        <w:rPr>
          <w:rStyle w:val="48"/>
          <w:rFonts w:hint="eastAsia"/>
          <w:szCs w:val="18"/>
          <w:vertAlign w:val="baseline"/>
        </w:rPr>
        <w:t>第3.3.2项和第3</w:t>
      </w:r>
      <w:r>
        <w:rPr>
          <w:rFonts w:hint="eastAsia"/>
          <w:szCs w:val="18"/>
        </w:rPr>
        <w:t>.3.3项</w:t>
      </w:r>
      <w:r>
        <w:rPr>
          <w:rStyle w:val="48"/>
          <w:rFonts w:hint="eastAsia"/>
          <w:szCs w:val="18"/>
          <w:vertAlign w:val="baseline"/>
        </w:rPr>
        <w:t>的</w:t>
      </w:r>
      <w:r>
        <w:rPr>
          <w:rStyle w:val="48"/>
          <w:szCs w:val="18"/>
          <w:vertAlign w:val="baseline"/>
        </w:rPr>
        <w:t>规定</w:t>
      </w:r>
      <w:r>
        <w:rPr>
          <w:rStyle w:val="48"/>
          <w:rFonts w:hint="eastAsia"/>
          <w:szCs w:val="18"/>
          <w:vertAlign w:val="baseline"/>
        </w:rPr>
        <w:t>对投标人的投标报价进行修正。</w:t>
      </w:r>
      <w:r>
        <w:rPr>
          <w:rFonts w:hint="eastAsia"/>
          <w:szCs w:val="18"/>
        </w:rPr>
        <w:t>如</w:t>
      </w:r>
      <w:r>
        <w:rPr>
          <w:rStyle w:val="48"/>
          <w:szCs w:val="18"/>
          <w:vertAlign w:val="baseline"/>
        </w:rPr>
        <w:t>本项目招标</w:t>
      </w:r>
      <w:r>
        <w:rPr>
          <w:rStyle w:val="48"/>
          <w:rFonts w:hint="eastAsia"/>
          <w:szCs w:val="18"/>
          <w:vertAlign w:val="baseline"/>
          <w:lang w:eastAsia="zh-CN"/>
        </w:rPr>
        <w:t>由</w:t>
      </w:r>
      <w:r>
        <w:rPr>
          <w:rFonts w:hint="eastAsia"/>
          <w:szCs w:val="18"/>
        </w:rPr>
        <w:t>投标人按照招标人提供的</w:t>
      </w:r>
      <w:r>
        <w:rPr>
          <w:rFonts w:hint="eastAsia"/>
          <w:szCs w:val="18"/>
          <w:lang w:eastAsia="zh-CN"/>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27">
    <w:p w14:paraId="3946DE42">
      <w:pPr>
        <w:pStyle w:val="30"/>
        <w:rPr>
          <w:rFonts w:hint="eastAsia"/>
          <w:lang w:eastAsia="zh-CN"/>
        </w:rPr>
      </w:pPr>
      <w:r>
        <w:rPr>
          <w:rStyle w:val="48"/>
        </w:rPr>
        <w:footnoteRef/>
      </w:r>
      <w:r>
        <w:t xml:space="preserve"> </w:t>
      </w:r>
      <w:r>
        <w:rPr>
          <w:rFonts w:hint="eastAsia"/>
          <w:lang w:eastAsia="zh-CN"/>
        </w:rPr>
        <w:t>本部分不加修改地引用了国家九部委《标准施工招标文件》（2007年版）相关内容。</w:t>
      </w:r>
    </w:p>
  </w:footnote>
  <w:footnote w:id="28">
    <w:p w14:paraId="1EED9F04">
      <w:pPr>
        <w:pStyle w:val="30"/>
        <w:spacing w:line="320" w:lineRule="atLeast"/>
        <w:ind w:left="180" w:hanging="180" w:hangingChars="100"/>
        <w:rPr>
          <w:rFonts w:hint="eastAsia"/>
          <w:lang w:eastAsia="zh-CN"/>
        </w:rPr>
      </w:pPr>
      <w:r>
        <w:rPr>
          <w:rStyle w:val="48"/>
        </w:rPr>
        <w:footnoteRef/>
      </w:r>
      <w:r>
        <w:t xml:space="preserve"> 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29">
    <w:p w14:paraId="5EC31B14">
      <w:pPr>
        <w:pStyle w:val="30"/>
        <w:snapToGrid w:val="0"/>
        <w:ind w:firstLine="0"/>
      </w:pPr>
      <w:r>
        <w:rPr>
          <w:rStyle w:val="48"/>
        </w:rPr>
        <w:footnoteRef/>
      </w:r>
      <w:r>
        <w:t xml:space="preserve"> </w:t>
      </w:r>
      <w:r>
        <w:rPr>
          <w:rFonts w:hint="eastAsia"/>
        </w:rPr>
        <w:t>招标人可结合</w:t>
      </w:r>
      <w:r>
        <w:rPr>
          <w:rFonts w:hint="eastAsia"/>
          <w:lang w:val="en-US" w:eastAsia="zh-CN"/>
        </w:rPr>
        <w:t>辽宁</w:t>
      </w:r>
      <w:r>
        <w:rPr>
          <w:rFonts w:hint="eastAsia"/>
        </w:rPr>
        <w:t>省公路建设领域管理政策文件对项目专用合同条款进行细化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30">
    <w:p w14:paraId="1BEDDEDF">
      <w:pPr>
        <w:pStyle w:val="30"/>
        <w:spacing w:line="300" w:lineRule="atLeast"/>
        <w:ind w:left="360" w:hanging="360" w:hangingChars="200"/>
        <w:jc w:val="both"/>
        <w:rPr>
          <w:szCs w:val="18"/>
        </w:rPr>
      </w:pPr>
      <w:r>
        <w:rPr>
          <w:rStyle w:val="48"/>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F5780B0">
      <w:pPr>
        <w:pStyle w:val="30"/>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1">
    <w:p w14:paraId="1FEDE3CF">
      <w:pPr>
        <w:pStyle w:val="30"/>
        <w:spacing w:line="300" w:lineRule="atLeast"/>
        <w:ind w:left="360" w:hanging="360" w:hangingChars="200"/>
        <w:rPr>
          <w:szCs w:val="18"/>
        </w:rPr>
      </w:pPr>
      <w:r>
        <w:rPr>
          <w:rStyle w:val="48"/>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2094A9C5">
      <w:pPr>
        <w:pStyle w:val="30"/>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545A4E09">
      <w:pPr>
        <w:pStyle w:val="30"/>
        <w:ind w:left="210" w:hanging="210"/>
        <w:rPr>
          <w:rFonts w:hint="eastAsia"/>
          <w:sz w:val="21"/>
          <w:szCs w:val="21"/>
        </w:rPr>
      </w:pPr>
    </w:p>
  </w:footnote>
  <w:footnote w:id="32">
    <w:p w14:paraId="5FD6794B">
      <w:pPr>
        <w:pStyle w:val="30"/>
        <w:tabs>
          <w:tab w:val="left" w:pos="3780"/>
        </w:tabs>
        <w:spacing w:line="340" w:lineRule="atLeast"/>
        <w:ind w:left="210" w:hanging="210"/>
        <w:rPr>
          <w:rFonts w:hint="eastAsia"/>
        </w:rPr>
      </w:pPr>
      <w:r>
        <w:rPr>
          <w:rStyle w:val="48"/>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33">
    <w:p w14:paraId="5FE5F834">
      <w:pPr>
        <w:pStyle w:val="30"/>
        <w:ind w:left="210" w:hanging="210"/>
        <w:rPr>
          <w:rFonts w:hint="eastAsia"/>
          <w:lang w:eastAsia="zh-CN"/>
        </w:rPr>
      </w:pPr>
      <w:r>
        <w:rPr>
          <w:rStyle w:val="48"/>
        </w:rPr>
        <w:footnoteRef/>
      </w:r>
      <w:r>
        <w:t xml:space="preserve"> </w:t>
      </w:r>
      <w:r>
        <w:rPr>
          <w:rFonts w:hint="eastAsia"/>
          <w:lang w:eastAsia="zh-CN"/>
        </w:rPr>
        <w:t>暂列金额的设置不宜超过工程量清单</w:t>
      </w:r>
      <w:r>
        <w:rPr>
          <w:szCs w:val="21"/>
        </w:rPr>
        <w:t>第100章</w:t>
      </w:r>
      <w:r>
        <w:rPr>
          <w:rFonts w:hint="eastAsia"/>
          <w:szCs w:val="21"/>
          <w:lang w:eastAsia="zh-CN"/>
        </w:rPr>
        <w:t>~</w:t>
      </w:r>
      <w:r>
        <w:rPr>
          <w:szCs w:val="21"/>
        </w:rPr>
        <w:t>700章合计金额的</w:t>
      </w:r>
      <w:r>
        <w:rPr>
          <w:rFonts w:hint="eastAsia"/>
          <w:szCs w:val="21"/>
          <w:lang w:eastAsia="zh-CN"/>
        </w:rPr>
        <w:t>3%。</w:t>
      </w:r>
    </w:p>
  </w:footnote>
  <w:footnote w:id="34">
    <w:p w14:paraId="1999F8B0">
      <w:pPr>
        <w:pStyle w:val="30"/>
        <w:ind w:left="210" w:hanging="210"/>
        <w:rPr>
          <w:rFonts w:hint="eastAsia"/>
          <w:szCs w:val="18"/>
        </w:rPr>
      </w:pPr>
      <w:r>
        <w:rPr>
          <w:rStyle w:val="48"/>
          <w:szCs w:val="18"/>
        </w:rPr>
        <w:footnoteRef/>
      </w:r>
      <w:r>
        <w:rPr>
          <w:rFonts w:hint="eastAsia"/>
          <w:szCs w:val="18"/>
        </w:rPr>
        <w:t xml:space="preserve"> 招标人可结合招标项目具体特点和实际需要，对本章内容进行补充、细化。</w:t>
      </w:r>
    </w:p>
  </w:footnote>
  <w:footnote w:id="35">
    <w:p w14:paraId="0793D6AB">
      <w:pPr>
        <w:pStyle w:val="30"/>
        <w:spacing w:line="300" w:lineRule="atLeast"/>
        <w:ind w:left="180" w:hanging="180" w:hangingChars="100"/>
        <w:jc w:val="both"/>
        <w:rPr>
          <w:rFonts w:hint="eastAsia" w:hAnsi="宋体"/>
          <w:szCs w:val="18"/>
        </w:rPr>
      </w:pPr>
      <w:r>
        <w:rPr>
          <w:rStyle w:val="48"/>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6">
    <w:p w14:paraId="3347A57C">
      <w:pPr>
        <w:pStyle w:val="30"/>
        <w:spacing w:line="300" w:lineRule="atLeast"/>
        <w:ind w:left="180" w:hanging="210" w:hangingChars="100"/>
        <w:rPr>
          <w:szCs w:val="18"/>
        </w:rPr>
      </w:pPr>
      <w:r>
        <w:rPr>
          <w:rStyle w:val="48"/>
          <w:kern w:val="2"/>
          <w:sz w:val="21"/>
          <w:szCs w:val="18"/>
        </w:rPr>
        <w:footnoteRef/>
      </w:r>
      <w:r>
        <w:rPr>
          <w:szCs w:val="18"/>
        </w:rPr>
        <w:t xml:space="preserve"> </w:t>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37">
    <w:p w14:paraId="0E00D16F">
      <w:pPr>
        <w:pStyle w:val="30"/>
        <w:spacing w:line="320" w:lineRule="atLeast"/>
        <w:ind w:firstLine="0"/>
        <w:rPr>
          <w:sz w:val="21"/>
          <w:szCs w:val="21"/>
        </w:rPr>
      </w:pPr>
      <w:r>
        <w:rPr>
          <w:rStyle w:val="48"/>
        </w:rPr>
        <w:footnoteRef/>
      </w:r>
    </w:p>
  </w:footnote>
  <w:footnote w:id="38">
    <w:p w14:paraId="7EC1048F">
      <w:pPr>
        <w:pStyle w:val="30"/>
        <w:spacing w:line="300" w:lineRule="atLeast"/>
        <w:ind w:left="180" w:hanging="180" w:hangingChars="100"/>
        <w:rPr>
          <w:rFonts w:hint="eastAsia" w:ascii="宋体-18030" w:hAnsi="宋体-18030" w:eastAsia="宋体-18030" w:cs="宋体-18030"/>
          <w:szCs w:val="18"/>
        </w:rPr>
      </w:pPr>
      <w:r>
        <w:rPr>
          <w:rStyle w:val="48"/>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39">
    <w:p w14:paraId="1C660797">
      <w:pPr>
        <w:pStyle w:val="30"/>
        <w:ind w:firstLine="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0">
    <w:p w14:paraId="0B2DF39A">
      <w:pPr>
        <w:pStyle w:val="30"/>
        <w:ind w:firstLine="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1">
    <w:p w14:paraId="5FE28D42">
      <w:pPr>
        <w:pStyle w:val="30"/>
        <w:ind w:firstLine="0"/>
        <w:jc w:val="both"/>
        <w:rPr>
          <w:rFonts w:hint="eastAsia" w:ascii="宋体" w:hAnsi="宋体"/>
          <w:sz w:val="21"/>
          <w:szCs w:val="21"/>
        </w:rPr>
      </w:pPr>
      <w:r>
        <w:rPr>
          <w:rStyle w:val="48"/>
          <w:rFonts w:ascii="宋体" w:hAnsi="宋体"/>
        </w:rPr>
        <w:footnoteRef/>
      </w:r>
      <w:r>
        <w:rPr>
          <w:rFonts w:hint="eastAsia" w:ascii="宋体" w:hAnsi="宋体"/>
          <w:szCs w:val="18"/>
          <w:lang w:eastAsia="zh-CN"/>
        </w:rPr>
        <w:t xml:space="preserve"> </w:t>
      </w:r>
      <w:r>
        <w:rPr>
          <w:rFonts w:hint="eastAsia" w:ascii="宋体" w:hAnsi="宋体"/>
          <w:szCs w:val="18"/>
        </w:rPr>
        <w:t>本表仅适用于特别复杂的特大桥梁和特长隧道项目主体工程以及其他有特殊要求的工程。</w:t>
      </w:r>
    </w:p>
  </w:footnote>
  <w:footnote w:id="42">
    <w:p w14:paraId="59DB97BC">
      <w:pPr>
        <w:pStyle w:val="30"/>
        <w:ind w:firstLine="0"/>
        <w:jc w:val="both"/>
        <w:rPr>
          <w:rFonts w:hint="eastAsia" w:ascii="宋体" w:hAnsi="宋体"/>
          <w:szCs w:val="18"/>
        </w:rPr>
      </w:pPr>
      <w:r>
        <w:rPr>
          <w:rStyle w:val="48"/>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1CF50B37">
      <w:pPr>
        <w:pStyle w:val="30"/>
        <w:spacing w:line="300" w:lineRule="atLeast"/>
        <w:ind w:firstLine="0"/>
        <w:rPr>
          <w:rFonts w:hint="eastAsia"/>
          <w:szCs w:val="18"/>
        </w:rPr>
      </w:pPr>
      <w:r>
        <w:rPr>
          <w:rStyle w:val="48"/>
          <w:szCs w:val="18"/>
        </w:rPr>
        <w:footnoteRef/>
      </w:r>
      <w:r>
        <w:rPr>
          <w:rFonts w:hint="eastAsia"/>
          <w:szCs w:val="18"/>
        </w:rPr>
        <w:t xml:space="preserve"> 一般情况下招标人应不接受调价函。</w:t>
      </w:r>
    </w:p>
  </w:footnote>
  <w:footnote w:id="44">
    <w:p w14:paraId="60306703">
      <w:pPr>
        <w:pStyle w:val="30"/>
        <w:spacing w:line="300" w:lineRule="atLeast"/>
        <w:ind w:left="180" w:hanging="180" w:hangingChars="100"/>
        <w:rPr>
          <w:rFonts w:hint="eastAsia"/>
          <w:szCs w:val="18"/>
        </w:rPr>
      </w:pPr>
      <w:r>
        <w:rPr>
          <w:rStyle w:val="48"/>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08F">
    <w:pPr>
      <w:pStyle w:val="27"/>
      <w:pBdr>
        <w:bottom w:val="single" w:color="auto" w:sz="4" w:space="0"/>
      </w:pBdr>
    </w:pPr>
    <w:r>
      <w:rPr>
        <w:rFonts w:hint="eastAsia" w:eastAsia="黑体" w:cs="Times New Roman"/>
        <w:sz w:val="20"/>
        <w:szCs w:val="21"/>
        <w:lang w:eastAsia="zh-CN"/>
      </w:rPr>
      <w:t>辽宁省公路建设养护工程电子招标文件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33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7B6535F">
    <w:pPr>
      <w:pStyle w:val="27"/>
    </w:pPr>
  </w:p>
  <w:p w14:paraId="3EA07F88">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A1">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第三章  评标办法（</w:t>
    </w:r>
    <w:r>
      <w:rPr>
        <w:rStyle w:val="54"/>
        <w:rFonts w:hint="eastAsia" w:eastAsia="黑体"/>
        <w:b w:val="0"/>
        <w:bCs w:val="0"/>
        <w:kern w:val="10"/>
        <w:sz w:val="22"/>
        <w:szCs w:val="22"/>
        <w:lang w:val="en-US" w:eastAsia="zh-CN"/>
      </w:rPr>
      <w:t>合理低价</w:t>
    </w:r>
    <w:r>
      <w:rPr>
        <w:rStyle w:val="54"/>
        <w:rFonts w:hint="eastAsia" w:eastAsia="黑体"/>
        <w:b w:val="0"/>
        <w:bCs w:val="0"/>
        <w:kern w:val="10"/>
        <w:sz w:val="22"/>
        <w:szCs w:val="22"/>
      </w:rPr>
      <w:t>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D021">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DJVPP8PAgAAeQ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78FC">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70528"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70528;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WxrM8A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37E">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ArZ3YsP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ArZ3Ys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280D">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68480"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68480;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grvtWw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DEBA">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Pmc7wY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F49">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第四章  合同条款及格式</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1CE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42164BB">
    <w:pPr>
      <w:pStyle w:val="27"/>
    </w:pPr>
  </w:p>
  <w:p w14:paraId="4A460E54">
    <w:pPr>
      <w:pStyle w:val="27"/>
      <w:rPr>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092">
    <w:pPr>
      <w:pBdr>
        <w:bottom w:val="single" w:color="auto" w:sz="4" w:space="1"/>
      </w:pBdr>
      <w:wordWrap w:val="0"/>
      <w:topLinePunct/>
      <w:spacing w:line="240" w:lineRule="atLeast"/>
      <w:ind w:right="190"/>
      <w:jc w:val="right"/>
      <w:rPr>
        <w:sz w:val="17"/>
        <w:szCs w:val="17"/>
      </w:rPr>
    </w:pPr>
    <w:r>
      <w:rPr>
        <w:rStyle w:val="54"/>
        <w:rFonts w:hint="eastAsia" w:eastAsia="黑体"/>
        <w:b w:val="0"/>
        <w:bCs w:val="0"/>
        <w:kern w:val="10"/>
        <w:sz w:val="22"/>
        <w:szCs w:val="22"/>
      </w:rPr>
      <w:t>第五章  工程量清单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3CDE">
    <w:pPr>
      <w:pBdr>
        <w:bottom w:val="single" w:color="auto" w:sz="4" w:space="1"/>
      </w:pBdr>
      <w:topLinePunct/>
      <w:spacing w:line="240" w:lineRule="atLeast"/>
      <w:ind w:right="190"/>
      <w:rPr>
        <w:sz w:val="17"/>
        <w:szCs w:val="17"/>
      </w:rPr>
    </w:pPr>
    <w:r>
      <w:rPr>
        <w:rStyle w:val="54"/>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C70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D5D369A">
    <w:pPr>
      <w:pStyle w:val="2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3563">
    <w:pPr>
      <w:pStyle w:val="27"/>
      <w:pBdr>
        <w:bottom w:val="single" w:color="auto" w:sz="4" w:space="0"/>
      </w:pBdr>
      <w:rPr>
        <w:szCs w:val="17"/>
      </w:rPr>
    </w:pPr>
    <w:r>
      <w:rPr>
        <w:rFonts w:hint="eastAsia" w:eastAsia="黑体" w:cs="Times New Roman"/>
        <w:sz w:val="20"/>
        <w:szCs w:val="21"/>
        <w:lang w:eastAsia="zh-CN"/>
      </w:rPr>
      <w:t>辽宁省公路建设养护工程电子招标标准施工招标文件（2024年版）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CD5A">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0AB7EC84">
    <w:pPr>
      <w:pStyle w:val="27"/>
      <w:rPr>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E279">
    <w:pPr>
      <w:pStyle w:val="27"/>
      <w:wordWrap w:val="0"/>
      <w:jc w:val="right"/>
      <w:rPr>
        <w:sz w:val="17"/>
        <w:szCs w:val="17"/>
      </w:rPr>
    </w:pPr>
    <w:r>
      <w:rPr>
        <w:sz w:val="19"/>
        <w:szCs w:val="19"/>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1312;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7C22">
    <w:pPr>
      <w:pBdr>
        <w:bottom w:val="single" w:color="auto" w:sz="4" w:space="1"/>
      </w:pBdr>
      <w:wordWrap w:val="0"/>
      <w:topLinePunct/>
      <w:spacing w:line="240" w:lineRule="atLeast"/>
      <w:ind w:right="190"/>
      <w:jc w:val="right"/>
      <w:rPr>
        <w:sz w:val="17"/>
        <w:szCs w:val="17"/>
      </w:rPr>
    </w:pPr>
    <w:r>
      <w:rPr>
        <w:rStyle w:val="54"/>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6B">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09FABDA">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A833">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662A">
    <w:pPr>
      <w:pBdr>
        <w:bottom w:val="single" w:color="auto" w:sz="4" w:space="1"/>
      </w:pBdr>
      <w:topLinePunct/>
      <w:spacing w:line="240" w:lineRule="atLeast"/>
      <w:ind w:right="190"/>
      <w:jc w:val="right"/>
      <w:rPr>
        <w:rFonts w:hint="default" w:eastAsia="黑体"/>
        <w:sz w:val="17"/>
        <w:szCs w:val="17"/>
        <w:lang w:val="en-US" w:eastAsia="zh-CN"/>
      </w:rPr>
    </w:pPr>
    <w:r>
      <w:rPr>
        <w:rStyle w:val="54"/>
        <w:rFonts w:hint="eastAsia" w:eastAsia="黑体"/>
        <w:b w:val="0"/>
        <w:bCs w:val="0"/>
        <w:kern w:val="10"/>
        <w:sz w:val="22"/>
        <w:szCs w:val="22"/>
      </w:rPr>
      <w:t>第</w:t>
    </w:r>
    <w:r>
      <w:rPr>
        <w:rStyle w:val="54"/>
        <w:rFonts w:hint="eastAsia" w:eastAsia="黑体"/>
        <w:b w:val="0"/>
        <w:bCs w:val="0"/>
        <w:kern w:val="10"/>
        <w:sz w:val="22"/>
        <w:szCs w:val="22"/>
        <w:lang w:val="en-US" w:eastAsia="zh-CN"/>
      </w:rPr>
      <w:t>二</w:t>
    </w:r>
    <w:r>
      <w:rPr>
        <w:rStyle w:val="54"/>
        <w:rFonts w:hint="eastAsia" w:eastAsia="黑体"/>
        <w:b w:val="0"/>
        <w:bCs w:val="0"/>
        <w:kern w:val="10"/>
        <w:sz w:val="22"/>
        <w:szCs w:val="22"/>
      </w:rPr>
      <w:t>章  投标</w:t>
    </w:r>
    <w:r>
      <w:rPr>
        <w:rStyle w:val="54"/>
        <w:rFonts w:hint="eastAsia" w:eastAsia="黑体"/>
        <w:b w:val="0"/>
        <w:bCs w:val="0"/>
        <w:kern w:val="10"/>
        <w:sz w:val="22"/>
        <w:szCs w:val="22"/>
        <w:lang w:val="en-US" w:eastAsia="zh-CN"/>
      </w:rPr>
      <w:t>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5AAD">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75A3B36">
    <w:pPr>
      <w:pStyle w:val="27"/>
    </w:pPr>
  </w:p>
  <w:p w14:paraId="24C09DF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0CD">
    <w:pPr>
      <w:pBdr>
        <w:bottom w:val="single" w:color="auto" w:sz="4" w:space="1"/>
      </w:pBdr>
      <w:topLinePunct/>
      <w:spacing w:line="240" w:lineRule="atLeast"/>
      <w:ind w:right="190"/>
      <w:jc w:val="right"/>
      <w:rPr>
        <w:sz w:val="17"/>
        <w:szCs w:val="17"/>
      </w:rPr>
    </w:pPr>
    <w:r>
      <w:rPr>
        <w:rStyle w:val="54"/>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7EC5">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145DC77">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8DCD">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90"/>
    <w:footnote w:id="9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2E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1F76A8E"/>
    <w:rsid w:val="020D657A"/>
    <w:rsid w:val="0223236F"/>
    <w:rsid w:val="022624E7"/>
    <w:rsid w:val="02952C5E"/>
    <w:rsid w:val="02E465FD"/>
    <w:rsid w:val="02FB5F01"/>
    <w:rsid w:val="03C863FD"/>
    <w:rsid w:val="03CA0201"/>
    <w:rsid w:val="03DB68E1"/>
    <w:rsid w:val="04250D9C"/>
    <w:rsid w:val="047C774D"/>
    <w:rsid w:val="04CC1D57"/>
    <w:rsid w:val="05850883"/>
    <w:rsid w:val="059A5C98"/>
    <w:rsid w:val="05E41A1D"/>
    <w:rsid w:val="06636FB2"/>
    <w:rsid w:val="06A64F55"/>
    <w:rsid w:val="06B24C6F"/>
    <w:rsid w:val="06B50CF4"/>
    <w:rsid w:val="06B55198"/>
    <w:rsid w:val="06B86837"/>
    <w:rsid w:val="06C66471"/>
    <w:rsid w:val="07041C7C"/>
    <w:rsid w:val="07222102"/>
    <w:rsid w:val="073B6441"/>
    <w:rsid w:val="07874527"/>
    <w:rsid w:val="07F25F78"/>
    <w:rsid w:val="07F461D2"/>
    <w:rsid w:val="08365E65"/>
    <w:rsid w:val="089B2A84"/>
    <w:rsid w:val="092142EF"/>
    <w:rsid w:val="09442803"/>
    <w:rsid w:val="09525099"/>
    <w:rsid w:val="09774987"/>
    <w:rsid w:val="09C92247"/>
    <w:rsid w:val="0A294445"/>
    <w:rsid w:val="0A456833"/>
    <w:rsid w:val="0B3444EF"/>
    <w:rsid w:val="0B5A4560"/>
    <w:rsid w:val="0BA12BF3"/>
    <w:rsid w:val="0BD648CC"/>
    <w:rsid w:val="0CB8497B"/>
    <w:rsid w:val="0CEE78D1"/>
    <w:rsid w:val="0CF555B7"/>
    <w:rsid w:val="0CF57E91"/>
    <w:rsid w:val="0D011087"/>
    <w:rsid w:val="0D305579"/>
    <w:rsid w:val="0D5867A2"/>
    <w:rsid w:val="0D9642F0"/>
    <w:rsid w:val="0ED87C76"/>
    <w:rsid w:val="0EE53CAA"/>
    <w:rsid w:val="0F342827"/>
    <w:rsid w:val="0F630EB1"/>
    <w:rsid w:val="0F6A1754"/>
    <w:rsid w:val="0F6B6962"/>
    <w:rsid w:val="0FA22032"/>
    <w:rsid w:val="0FBE2456"/>
    <w:rsid w:val="0FCF7A0F"/>
    <w:rsid w:val="0FE443F8"/>
    <w:rsid w:val="0FE53F92"/>
    <w:rsid w:val="0FED5C57"/>
    <w:rsid w:val="10075607"/>
    <w:rsid w:val="106F0518"/>
    <w:rsid w:val="107838CD"/>
    <w:rsid w:val="10807302"/>
    <w:rsid w:val="11313480"/>
    <w:rsid w:val="113349F9"/>
    <w:rsid w:val="118539B9"/>
    <w:rsid w:val="11CC17D1"/>
    <w:rsid w:val="12530A8A"/>
    <w:rsid w:val="129E4D82"/>
    <w:rsid w:val="12AC31BF"/>
    <w:rsid w:val="12AE29A3"/>
    <w:rsid w:val="12D84F2E"/>
    <w:rsid w:val="12D940DE"/>
    <w:rsid w:val="12F6691D"/>
    <w:rsid w:val="1379754E"/>
    <w:rsid w:val="13BF31B2"/>
    <w:rsid w:val="13D01FEE"/>
    <w:rsid w:val="13FA2E27"/>
    <w:rsid w:val="140212F1"/>
    <w:rsid w:val="14172834"/>
    <w:rsid w:val="14382F65"/>
    <w:rsid w:val="14717445"/>
    <w:rsid w:val="14787805"/>
    <w:rsid w:val="14A012B1"/>
    <w:rsid w:val="1539787D"/>
    <w:rsid w:val="15752784"/>
    <w:rsid w:val="15B11221"/>
    <w:rsid w:val="15D46D50"/>
    <w:rsid w:val="15F34711"/>
    <w:rsid w:val="16077093"/>
    <w:rsid w:val="160F7CF5"/>
    <w:rsid w:val="162166CB"/>
    <w:rsid w:val="16573B76"/>
    <w:rsid w:val="165D6CB3"/>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B3452EB"/>
    <w:rsid w:val="1B8013F7"/>
    <w:rsid w:val="1BB13295"/>
    <w:rsid w:val="1BB9498B"/>
    <w:rsid w:val="1C6B61A8"/>
    <w:rsid w:val="1CF63BC0"/>
    <w:rsid w:val="1D0A0FEB"/>
    <w:rsid w:val="1D9F3C04"/>
    <w:rsid w:val="1DB91B5D"/>
    <w:rsid w:val="1DFC3698"/>
    <w:rsid w:val="1E0647C5"/>
    <w:rsid w:val="1EB11737"/>
    <w:rsid w:val="1ED85A70"/>
    <w:rsid w:val="1F200154"/>
    <w:rsid w:val="1F417171"/>
    <w:rsid w:val="1F8C2A73"/>
    <w:rsid w:val="1FCD2AA2"/>
    <w:rsid w:val="200B7C2C"/>
    <w:rsid w:val="20165509"/>
    <w:rsid w:val="205A2A93"/>
    <w:rsid w:val="207A2C89"/>
    <w:rsid w:val="20EE6936"/>
    <w:rsid w:val="213D0D46"/>
    <w:rsid w:val="21462ADE"/>
    <w:rsid w:val="218B501C"/>
    <w:rsid w:val="21EF7359"/>
    <w:rsid w:val="22206454"/>
    <w:rsid w:val="22241AE3"/>
    <w:rsid w:val="22244B28"/>
    <w:rsid w:val="225B3EBB"/>
    <w:rsid w:val="22920A1B"/>
    <w:rsid w:val="22CC29AA"/>
    <w:rsid w:val="22DB0789"/>
    <w:rsid w:val="231F117D"/>
    <w:rsid w:val="234500A6"/>
    <w:rsid w:val="23640EA6"/>
    <w:rsid w:val="23CA2319"/>
    <w:rsid w:val="23F24EDE"/>
    <w:rsid w:val="24352EBB"/>
    <w:rsid w:val="2443573A"/>
    <w:rsid w:val="247719A1"/>
    <w:rsid w:val="24E85830"/>
    <w:rsid w:val="2500391B"/>
    <w:rsid w:val="25043B62"/>
    <w:rsid w:val="252A328F"/>
    <w:rsid w:val="25494923"/>
    <w:rsid w:val="25CF3ED6"/>
    <w:rsid w:val="25D725DE"/>
    <w:rsid w:val="260F7EE8"/>
    <w:rsid w:val="26341C2C"/>
    <w:rsid w:val="263961BD"/>
    <w:rsid w:val="264677D2"/>
    <w:rsid w:val="26E21CEE"/>
    <w:rsid w:val="272938E6"/>
    <w:rsid w:val="273713E4"/>
    <w:rsid w:val="274769D1"/>
    <w:rsid w:val="27BD3A55"/>
    <w:rsid w:val="28056DA0"/>
    <w:rsid w:val="282E0A77"/>
    <w:rsid w:val="283261F1"/>
    <w:rsid w:val="2908745E"/>
    <w:rsid w:val="29D84B76"/>
    <w:rsid w:val="2A1262DA"/>
    <w:rsid w:val="2A367F13"/>
    <w:rsid w:val="2A6571D9"/>
    <w:rsid w:val="2AA077A9"/>
    <w:rsid w:val="2ABE7682"/>
    <w:rsid w:val="2AF459E0"/>
    <w:rsid w:val="2B3E7332"/>
    <w:rsid w:val="2B9F589A"/>
    <w:rsid w:val="2C7F52AD"/>
    <w:rsid w:val="2CE4003B"/>
    <w:rsid w:val="2D5B7F98"/>
    <w:rsid w:val="2D817051"/>
    <w:rsid w:val="2D8868B3"/>
    <w:rsid w:val="2D957CF5"/>
    <w:rsid w:val="2DDD37EA"/>
    <w:rsid w:val="2DEF2F2B"/>
    <w:rsid w:val="2DF13843"/>
    <w:rsid w:val="2E026172"/>
    <w:rsid w:val="2E301F0A"/>
    <w:rsid w:val="2EFE144D"/>
    <w:rsid w:val="2FD72080"/>
    <w:rsid w:val="30330D58"/>
    <w:rsid w:val="30345A24"/>
    <w:rsid w:val="30AA4E20"/>
    <w:rsid w:val="30B5232B"/>
    <w:rsid w:val="30D9774B"/>
    <w:rsid w:val="30E12562"/>
    <w:rsid w:val="314F1BC2"/>
    <w:rsid w:val="31666628"/>
    <w:rsid w:val="3172765E"/>
    <w:rsid w:val="317E24A7"/>
    <w:rsid w:val="31CB0666"/>
    <w:rsid w:val="31E30425"/>
    <w:rsid w:val="320266E5"/>
    <w:rsid w:val="32565DF7"/>
    <w:rsid w:val="33613FFE"/>
    <w:rsid w:val="336143E6"/>
    <w:rsid w:val="337445BC"/>
    <w:rsid w:val="34331392"/>
    <w:rsid w:val="34621C0C"/>
    <w:rsid w:val="3481071B"/>
    <w:rsid w:val="348C6C89"/>
    <w:rsid w:val="349618B6"/>
    <w:rsid w:val="349D3EFE"/>
    <w:rsid w:val="34ED4490"/>
    <w:rsid w:val="34EF4842"/>
    <w:rsid w:val="34F521EE"/>
    <w:rsid w:val="34F66FC6"/>
    <w:rsid w:val="35201F61"/>
    <w:rsid w:val="357A2DF7"/>
    <w:rsid w:val="362463F3"/>
    <w:rsid w:val="36314D74"/>
    <w:rsid w:val="36320DCE"/>
    <w:rsid w:val="36940077"/>
    <w:rsid w:val="36993E75"/>
    <w:rsid w:val="36B978C7"/>
    <w:rsid w:val="36BB7708"/>
    <w:rsid w:val="36D3445E"/>
    <w:rsid w:val="37075C97"/>
    <w:rsid w:val="374B13F0"/>
    <w:rsid w:val="3756191A"/>
    <w:rsid w:val="37671737"/>
    <w:rsid w:val="37B704C1"/>
    <w:rsid w:val="37D75647"/>
    <w:rsid w:val="37E62B54"/>
    <w:rsid w:val="38141101"/>
    <w:rsid w:val="384C15E7"/>
    <w:rsid w:val="3862042D"/>
    <w:rsid w:val="38C01602"/>
    <w:rsid w:val="39243B3D"/>
    <w:rsid w:val="396B3311"/>
    <w:rsid w:val="39A14223"/>
    <w:rsid w:val="39A828A4"/>
    <w:rsid w:val="3A0E1EEE"/>
    <w:rsid w:val="3A346490"/>
    <w:rsid w:val="3A9E3272"/>
    <w:rsid w:val="3AC56C4A"/>
    <w:rsid w:val="3AE73B09"/>
    <w:rsid w:val="3B6B584A"/>
    <w:rsid w:val="3BEB40E5"/>
    <w:rsid w:val="3C3B43CE"/>
    <w:rsid w:val="3CC2593E"/>
    <w:rsid w:val="3D1433A2"/>
    <w:rsid w:val="3D29758D"/>
    <w:rsid w:val="3D9C2ADA"/>
    <w:rsid w:val="3DC93E69"/>
    <w:rsid w:val="3E2724E7"/>
    <w:rsid w:val="3E27676D"/>
    <w:rsid w:val="3E6B3DB3"/>
    <w:rsid w:val="3E907376"/>
    <w:rsid w:val="3ECB4852"/>
    <w:rsid w:val="3EE93386"/>
    <w:rsid w:val="3F177A97"/>
    <w:rsid w:val="3F213F04"/>
    <w:rsid w:val="3F421D64"/>
    <w:rsid w:val="3F951D52"/>
    <w:rsid w:val="40C1415E"/>
    <w:rsid w:val="410D4CAE"/>
    <w:rsid w:val="41112B20"/>
    <w:rsid w:val="415914C1"/>
    <w:rsid w:val="41766CF7"/>
    <w:rsid w:val="418677AA"/>
    <w:rsid w:val="41B25855"/>
    <w:rsid w:val="41BC374E"/>
    <w:rsid w:val="41C90103"/>
    <w:rsid w:val="420F7471"/>
    <w:rsid w:val="42497F67"/>
    <w:rsid w:val="43034482"/>
    <w:rsid w:val="434846C3"/>
    <w:rsid w:val="438870AF"/>
    <w:rsid w:val="43BA2B9E"/>
    <w:rsid w:val="43CC3903"/>
    <w:rsid w:val="43D877F5"/>
    <w:rsid w:val="43E80323"/>
    <w:rsid w:val="43FA5FE2"/>
    <w:rsid w:val="44322D4A"/>
    <w:rsid w:val="444A6219"/>
    <w:rsid w:val="44D06B35"/>
    <w:rsid w:val="44F77F05"/>
    <w:rsid w:val="45560475"/>
    <w:rsid w:val="45737BDF"/>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C4A14AC"/>
    <w:rsid w:val="4C725F03"/>
    <w:rsid w:val="4D081D6E"/>
    <w:rsid w:val="4D1203A4"/>
    <w:rsid w:val="4D3B0DF4"/>
    <w:rsid w:val="4D4C3002"/>
    <w:rsid w:val="4D5214EF"/>
    <w:rsid w:val="4DD82969"/>
    <w:rsid w:val="4E025A20"/>
    <w:rsid w:val="4E4C43BA"/>
    <w:rsid w:val="4E7B0D91"/>
    <w:rsid w:val="4E7C3473"/>
    <w:rsid w:val="4E997359"/>
    <w:rsid w:val="4F0D3938"/>
    <w:rsid w:val="4F3E57BE"/>
    <w:rsid w:val="4FFF6735"/>
    <w:rsid w:val="50224539"/>
    <w:rsid w:val="5062076C"/>
    <w:rsid w:val="512962D7"/>
    <w:rsid w:val="51477D68"/>
    <w:rsid w:val="518D4B89"/>
    <w:rsid w:val="519059F2"/>
    <w:rsid w:val="51956D25"/>
    <w:rsid w:val="51A72DA3"/>
    <w:rsid w:val="51A74466"/>
    <w:rsid w:val="51D718C7"/>
    <w:rsid w:val="51FB0B52"/>
    <w:rsid w:val="52483D98"/>
    <w:rsid w:val="524E2F31"/>
    <w:rsid w:val="52CF44B9"/>
    <w:rsid w:val="52E863D3"/>
    <w:rsid w:val="532A2A4A"/>
    <w:rsid w:val="536426E8"/>
    <w:rsid w:val="53C71634"/>
    <w:rsid w:val="547D2C1A"/>
    <w:rsid w:val="548B2C7E"/>
    <w:rsid w:val="54D83366"/>
    <w:rsid w:val="54F324F8"/>
    <w:rsid w:val="55381ED8"/>
    <w:rsid w:val="5543788A"/>
    <w:rsid w:val="554F18E1"/>
    <w:rsid w:val="563E7AA9"/>
    <w:rsid w:val="568850AA"/>
    <w:rsid w:val="56C25B6C"/>
    <w:rsid w:val="57140367"/>
    <w:rsid w:val="57154464"/>
    <w:rsid w:val="57A35F14"/>
    <w:rsid w:val="5805272B"/>
    <w:rsid w:val="58207C04"/>
    <w:rsid w:val="582B03E3"/>
    <w:rsid w:val="585A4F2F"/>
    <w:rsid w:val="58F97C5B"/>
    <w:rsid w:val="59012EF2"/>
    <w:rsid w:val="595765E7"/>
    <w:rsid w:val="597638E0"/>
    <w:rsid w:val="59A349B6"/>
    <w:rsid w:val="59E1204C"/>
    <w:rsid w:val="5A0A04CC"/>
    <w:rsid w:val="5A9658BC"/>
    <w:rsid w:val="5B0F5D9A"/>
    <w:rsid w:val="5B1F079D"/>
    <w:rsid w:val="5B526733"/>
    <w:rsid w:val="5B5F03A4"/>
    <w:rsid w:val="5B7379CF"/>
    <w:rsid w:val="5BCE7785"/>
    <w:rsid w:val="5BF1122A"/>
    <w:rsid w:val="5C140B03"/>
    <w:rsid w:val="5C283EC9"/>
    <w:rsid w:val="5C437174"/>
    <w:rsid w:val="5C6E4D42"/>
    <w:rsid w:val="5D30559F"/>
    <w:rsid w:val="5D51434E"/>
    <w:rsid w:val="5D881E34"/>
    <w:rsid w:val="5DC866D4"/>
    <w:rsid w:val="5E50108F"/>
    <w:rsid w:val="5E5D506F"/>
    <w:rsid w:val="5E7F192B"/>
    <w:rsid w:val="5F2416FD"/>
    <w:rsid w:val="5F29531B"/>
    <w:rsid w:val="5F2D2C93"/>
    <w:rsid w:val="603077A1"/>
    <w:rsid w:val="606968D4"/>
    <w:rsid w:val="612B7408"/>
    <w:rsid w:val="616D6A24"/>
    <w:rsid w:val="617B7D81"/>
    <w:rsid w:val="61B70402"/>
    <w:rsid w:val="61FB55A6"/>
    <w:rsid w:val="62610F56"/>
    <w:rsid w:val="62EE44E7"/>
    <w:rsid w:val="630B0D25"/>
    <w:rsid w:val="633B5253"/>
    <w:rsid w:val="63EC3E4B"/>
    <w:rsid w:val="645A71EA"/>
    <w:rsid w:val="65742EC7"/>
    <w:rsid w:val="65FC0F4D"/>
    <w:rsid w:val="660E7CE2"/>
    <w:rsid w:val="666D68AF"/>
    <w:rsid w:val="66C8504F"/>
    <w:rsid w:val="66CC3556"/>
    <w:rsid w:val="66E638C0"/>
    <w:rsid w:val="66E95763"/>
    <w:rsid w:val="676C20F3"/>
    <w:rsid w:val="676C45F3"/>
    <w:rsid w:val="67801DCE"/>
    <w:rsid w:val="67F53618"/>
    <w:rsid w:val="6804655B"/>
    <w:rsid w:val="6820733F"/>
    <w:rsid w:val="68210EBB"/>
    <w:rsid w:val="687A0BBC"/>
    <w:rsid w:val="688C4126"/>
    <w:rsid w:val="68F42334"/>
    <w:rsid w:val="691B590A"/>
    <w:rsid w:val="69423AFE"/>
    <w:rsid w:val="69572F2E"/>
    <w:rsid w:val="697F4AA5"/>
    <w:rsid w:val="69F13A07"/>
    <w:rsid w:val="69F45E5D"/>
    <w:rsid w:val="6A4721BE"/>
    <w:rsid w:val="6A75300F"/>
    <w:rsid w:val="6AAB53B4"/>
    <w:rsid w:val="6B3E69F2"/>
    <w:rsid w:val="6B6712DB"/>
    <w:rsid w:val="6BF665EC"/>
    <w:rsid w:val="6C7D68DC"/>
    <w:rsid w:val="6CE030B0"/>
    <w:rsid w:val="6CF556F7"/>
    <w:rsid w:val="6D4A4A10"/>
    <w:rsid w:val="6DA00AD4"/>
    <w:rsid w:val="6DB14A8F"/>
    <w:rsid w:val="6DB80E25"/>
    <w:rsid w:val="6DB9605E"/>
    <w:rsid w:val="6EB0094B"/>
    <w:rsid w:val="6EEC710A"/>
    <w:rsid w:val="6EFE4AEF"/>
    <w:rsid w:val="6F1B4E65"/>
    <w:rsid w:val="6F2C2BA0"/>
    <w:rsid w:val="6F4162E7"/>
    <w:rsid w:val="6F507B27"/>
    <w:rsid w:val="6F5953DE"/>
    <w:rsid w:val="6F7A5868"/>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C83F3E"/>
    <w:rsid w:val="72E804B1"/>
    <w:rsid w:val="73047407"/>
    <w:rsid w:val="73210D6E"/>
    <w:rsid w:val="733D23FA"/>
    <w:rsid w:val="73467931"/>
    <w:rsid w:val="73DB4206"/>
    <w:rsid w:val="73FE2B4F"/>
    <w:rsid w:val="743957DE"/>
    <w:rsid w:val="747F1A52"/>
    <w:rsid w:val="74C01A5C"/>
    <w:rsid w:val="74F636CF"/>
    <w:rsid w:val="75482A22"/>
    <w:rsid w:val="75604BFB"/>
    <w:rsid w:val="757F4F2B"/>
    <w:rsid w:val="75840CDB"/>
    <w:rsid w:val="75F6664F"/>
    <w:rsid w:val="75F8637C"/>
    <w:rsid w:val="76CA0970"/>
    <w:rsid w:val="76DE441B"/>
    <w:rsid w:val="77694336"/>
    <w:rsid w:val="778D79A7"/>
    <w:rsid w:val="77A03A14"/>
    <w:rsid w:val="77A1279F"/>
    <w:rsid w:val="77EB3293"/>
    <w:rsid w:val="78C53AE4"/>
    <w:rsid w:val="792720A9"/>
    <w:rsid w:val="79D072BF"/>
    <w:rsid w:val="7A700510"/>
    <w:rsid w:val="7A9E639B"/>
    <w:rsid w:val="7AA240DD"/>
    <w:rsid w:val="7AAB7433"/>
    <w:rsid w:val="7B2D1921"/>
    <w:rsid w:val="7B2F4576"/>
    <w:rsid w:val="7B3F44E4"/>
    <w:rsid w:val="7B7E4979"/>
    <w:rsid w:val="7BCB1412"/>
    <w:rsid w:val="7BEE05A2"/>
    <w:rsid w:val="7C0132AF"/>
    <w:rsid w:val="7C2B599A"/>
    <w:rsid w:val="7CCC3241"/>
    <w:rsid w:val="7CD15B82"/>
    <w:rsid w:val="7CED7B6F"/>
    <w:rsid w:val="7D1C6C38"/>
    <w:rsid w:val="7D7F24B4"/>
    <w:rsid w:val="7D7F72F7"/>
    <w:rsid w:val="7DC9372F"/>
    <w:rsid w:val="7E7328E3"/>
    <w:rsid w:val="7E7D0549"/>
    <w:rsid w:val="7EA538D6"/>
    <w:rsid w:val="7ED5043F"/>
    <w:rsid w:val="7F2A28F3"/>
    <w:rsid w:val="7F5145BD"/>
    <w:rsid w:val="7F997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60"/>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64"/>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58"/>
    <w:autoRedefine/>
    <w:qFormat/>
    <w:uiPriority w:val="0"/>
    <w:rPr>
      <w:rFonts w:ascii="宋体"/>
      <w:sz w:val="18"/>
      <w:szCs w:val="18"/>
    </w:rPr>
  </w:style>
  <w:style w:type="paragraph" w:styleId="14">
    <w:name w:val="annotation text"/>
    <w:basedOn w:val="1"/>
    <w:link w:val="52"/>
    <w:autoRedefine/>
    <w:qFormat/>
    <w:uiPriority w:val="0"/>
    <w:pPr>
      <w:jc w:val="left"/>
    </w:pPr>
  </w:style>
  <w:style w:type="paragraph" w:styleId="15">
    <w:name w:val="Body Text 3"/>
    <w:basedOn w:val="1"/>
    <w:link w:val="50"/>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eastAsia="宋体" w:cs="Times New Roman"/>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0">
    <w:name w:val="Plain Text"/>
    <w:basedOn w:val="1"/>
    <w:link w:val="57"/>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eastAsia="宋体" w:cs="Times New Roman"/>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53"/>
    <w:autoRedefine/>
    <w:qFormat/>
    <w:uiPriority w:val="0"/>
    <w:pPr>
      <w:tabs>
        <w:tab w:val="center" w:pos="4153"/>
        <w:tab w:val="right" w:pos="8306"/>
      </w:tabs>
      <w:snapToGrid w:val="0"/>
      <w:jc w:val="left"/>
    </w:pPr>
    <w:rPr>
      <w:sz w:val="18"/>
      <w:szCs w:val="18"/>
    </w:rPr>
  </w:style>
  <w:style w:type="paragraph" w:styleId="27">
    <w:name w:val="header"/>
    <w:basedOn w:val="1"/>
    <w:link w:val="66"/>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eastAsia="宋体" w:cs="Times New Roman"/>
      <w:szCs w:val="22"/>
    </w:rPr>
  </w:style>
  <w:style w:type="paragraph" w:styleId="30">
    <w:name w:val="footnote text"/>
    <w:basedOn w:val="1"/>
    <w:link w:val="59"/>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eastAsia="宋体" w:cs="Times New Roman"/>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eastAsia="宋体" w:cs="Times New Roman"/>
      <w:szCs w:val="22"/>
    </w:rPr>
  </w:style>
  <w:style w:type="paragraph" w:styleId="35">
    <w:name w:val="Body Text 2"/>
    <w:basedOn w:val="1"/>
    <w:autoRedefine/>
    <w:qFormat/>
    <w:uiPriority w:val="0"/>
    <w:pPr>
      <w:spacing w:after="120" w:line="480" w:lineRule="auto"/>
    </w:pPr>
  </w:style>
  <w:style w:type="paragraph" w:styleId="3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5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51"/>
    <w:autoRedefine/>
    <w:qFormat/>
    <w:uiPriority w:val="0"/>
    <w:rPr>
      <w:b/>
      <w:bCs/>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endnote reference"/>
    <w:autoRedefine/>
    <w:semiHidden/>
    <w:qFormat/>
    <w:uiPriority w:val="0"/>
    <w:rPr>
      <w:vertAlign w:val="superscript"/>
    </w:rPr>
  </w:style>
  <w:style w:type="character" w:styleId="44">
    <w:name w:val="page number"/>
    <w:basedOn w:val="42"/>
    <w:autoRedefine/>
    <w:qFormat/>
    <w:uiPriority w:val="0"/>
  </w:style>
  <w:style w:type="character" w:styleId="45">
    <w:name w:val="FollowedHyperlink"/>
    <w:autoRedefine/>
    <w:qFormat/>
    <w:uiPriority w:val="0"/>
    <w:rPr>
      <w:color w:val="800080"/>
      <w:u w:val="single"/>
    </w:rPr>
  </w:style>
  <w:style w:type="character" w:styleId="46">
    <w:name w:val="Hyperlink"/>
    <w:autoRedefine/>
    <w:qFormat/>
    <w:uiPriority w:val="99"/>
    <w:rPr>
      <w:color w:val="0000FF"/>
      <w:u w:val="single"/>
    </w:rPr>
  </w:style>
  <w:style w:type="character" w:styleId="47">
    <w:name w:val="annotation reference"/>
    <w:autoRedefine/>
    <w:qFormat/>
    <w:uiPriority w:val="0"/>
    <w:rPr>
      <w:sz w:val="21"/>
      <w:szCs w:val="21"/>
    </w:rPr>
  </w:style>
  <w:style w:type="character" w:styleId="48">
    <w:name w:val="footnote reference"/>
    <w:autoRedefine/>
    <w:qFormat/>
    <w:uiPriority w:val="0"/>
    <w:rPr>
      <w:vertAlign w:val="superscript"/>
    </w:rPr>
  </w:style>
  <w:style w:type="character" w:customStyle="1" w:styleId="49">
    <w:name w:val="标题 1 Char"/>
    <w:link w:val="2"/>
    <w:autoRedefine/>
    <w:qFormat/>
    <w:uiPriority w:val="0"/>
    <w:rPr>
      <w:rFonts w:eastAsia="黑体"/>
      <w:bCs/>
      <w:kern w:val="44"/>
      <w:sz w:val="24"/>
      <w:szCs w:val="44"/>
    </w:rPr>
  </w:style>
  <w:style w:type="character" w:customStyle="1" w:styleId="50">
    <w:name w:val="正文文本 3 Char"/>
    <w:basedOn w:val="42"/>
    <w:link w:val="15"/>
    <w:autoRedefine/>
    <w:qFormat/>
    <w:uiPriority w:val="0"/>
    <w:rPr>
      <w:rFonts w:ascii="宋体"/>
      <w:kern w:val="2"/>
      <w:sz w:val="24"/>
    </w:rPr>
  </w:style>
  <w:style w:type="character" w:customStyle="1" w:styleId="51">
    <w:name w:val="批注主题 Char"/>
    <w:link w:val="39"/>
    <w:autoRedefine/>
    <w:qFormat/>
    <w:uiPriority w:val="0"/>
    <w:rPr>
      <w:b/>
      <w:bCs/>
      <w:kern w:val="2"/>
      <w:sz w:val="21"/>
      <w:szCs w:val="24"/>
    </w:rPr>
  </w:style>
  <w:style w:type="character" w:customStyle="1" w:styleId="52">
    <w:name w:val="批注文字 Char"/>
    <w:basedOn w:val="42"/>
    <w:link w:val="14"/>
    <w:autoRedefine/>
    <w:qFormat/>
    <w:uiPriority w:val="0"/>
    <w:rPr>
      <w:kern w:val="2"/>
      <w:sz w:val="21"/>
      <w:szCs w:val="24"/>
    </w:rPr>
  </w:style>
  <w:style w:type="character" w:customStyle="1" w:styleId="53">
    <w:name w:val="页脚 Char"/>
    <w:link w:val="26"/>
    <w:autoRedefine/>
    <w:qFormat/>
    <w:uiPriority w:val="0"/>
    <w:rPr>
      <w:rFonts w:eastAsia="宋体"/>
      <w:kern w:val="2"/>
      <w:sz w:val="18"/>
      <w:szCs w:val="18"/>
      <w:lang w:val="en-US" w:eastAsia="zh-CN" w:bidi="ar-SA"/>
    </w:rPr>
  </w:style>
  <w:style w:type="character" w:customStyle="1" w:styleId="54">
    <w:name w:val="font161"/>
    <w:autoRedefine/>
    <w:qFormat/>
    <w:uiPriority w:val="0"/>
    <w:rPr>
      <w:b/>
      <w:bCs/>
      <w:sz w:val="32"/>
      <w:szCs w:val="32"/>
    </w:rPr>
  </w:style>
  <w:style w:type="character" w:customStyle="1" w:styleId="55">
    <w:name w:val="标题 Char"/>
    <w:link w:val="38"/>
    <w:autoRedefine/>
    <w:qFormat/>
    <w:uiPriority w:val="0"/>
    <w:rPr>
      <w:rFonts w:ascii="Arial" w:hAnsi="Arial" w:eastAsia="宋体"/>
      <w:b/>
      <w:sz w:val="32"/>
      <w:lang w:val="en-US" w:eastAsia="zh-CN" w:bidi="ar-SA"/>
    </w:rPr>
  </w:style>
  <w:style w:type="character" w:customStyle="1" w:styleId="56">
    <w:name w:val="数字"/>
    <w:autoRedefine/>
    <w:qFormat/>
    <w:uiPriority w:val="0"/>
    <w:rPr>
      <w:rFonts w:eastAsia="黑体"/>
      <w:b/>
      <w:sz w:val="21"/>
    </w:rPr>
  </w:style>
  <w:style w:type="character" w:customStyle="1" w:styleId="57">
    <w:name w:val="纯文本 Char"/>
    <w:link w:val="20"/>
    <w:autoRedefine/>
    <w:qFormat/>
    <w:uiPriority w:val="0"/>
    <w:rPr>
      <w:rFonts w:ascii="宋体" w:hAnsi="Courier New" w:eastAsia="宋体"/>
      <w:kern w:val="2"/>
      <w:sz w:val="21"/>
      <w:lang w:val="en-US" w:eastAsia="zh-CN" w:bidi="ar-SA"/>
    </w:rPr>
  </w:style>
  <w:style w:type="character" w:customStyle="1" w:styleId="58">
    <w:name w:val="文档结构图 Char"/>
    <w:link w:val="13"/>
    <w:autoRedefine/>
    <w:qFormat/>
    <w:uiPriority w:val="0"/>
    <w:rPr>
      <w:rFonts w:ascii="宋体"/>
      <w:kern w:val="2"/>
      <w:sz w:val="18"/>
      <w:szCs w:val="18"/>
    </w:rPr>
  </w:style>
  <w:style w:type="character" w:customStyle="1" w:styleId="59">
    <w:name w:val="脚注文本 Char"/>
    <w:link w:val="30"/>
    <w:autoRedefine/>
    <w:qFormat/>
    <w:uiPriority w:val="0"/>
    <w:rPr>
      <w:sz w:val="18"/>
    </w:rPr>
  </w:style>
  <w:style w:type="character" w:customStyle="1" w:styleId="60">
    <w:name w:val="标题 2 Char"/>
    <w:link w:val="3"/>
    <w:autoRedefine/>
    <w:qFormat/>
    <w:uiPriority w:val="0"/>
    <w:rPr>
      <w:rFonts w:ascii="宋体" w:hAnsi="宋体" w:eastAsia="黑体"/>
      <w:bCs/>
      <w:i/>
      <w:iCs/>
      <w:kern w:val="2"/>
      <w:sz w:val="24"/>
    </w:rPr>
  </w:style>
  <w:style w:type="character" w:customStyle="1" w:styleId="61">
    <w:name w:val="H001 Char"/>
    <w:link w:val="62"/>
    <w:autoRedefine/>
    <w:qFormat/>
    <w:uiPriority w:val="0"/>
    <w:rPr>
      <w:rFonts w:eastAsia="黑体"/>
      <w:bCs/>
      <w:kern w:val="44"/>
      <w:sz w:val="24"/>
      <w:szCs w:val="44"/>
    </w:rPr>
  </w:style>
  <w:style w:type="paragraph" w:customStyle="1" w:styleId="62">
    <w:name w:val="H001"/>
    <w:basedOn w:val="2"/>
    <w:link w:val="61"/>
    <w:autoRedefine/>
    <w:qFormat/>
    <w:uiPriority w:val="0"/>
    <w:pPr>
      <w:spacing w:before="240" w:after="240" w:line="240" w:lineRule="exact"/>
    </w:pPr>
    <w:rPr>
      <w:rFonts w:eastAsia="黑体"/>
      <w:sz w:val="24"/>
    </w:rPr>
  </w:style>
  <w:style w:type="character" w:customStyle="1" w:styleId="63">
    <w:name w:val="脚注文本 字符1"/>
    <w:autoRedefine/>
    <w:semiHidden/>
    <w:qFormat/>
    <w:locked/>
    <w:uiPriority w:val="0"/>
    <w:rPr>
      <w:kern w:val="2"/>
      <w:sz w:val="18"/>
      <w:szCs w:val="18"/>
    </w:rPr>
  </w:style>
  <w:style w:type="character" w:customStyle="1" w:styleId="64">
    <w:name w:val="标题 3 Char"/>
    <w:link w:val="5"/>
    <w:autoRedefine/>
    <w:qFormat/>
    <w:uiPriority w:val="0"/>
    <w:rPr>
      <w:b/>
      <w:sz w:val="32"/>
    </w:rPr>
  </w:style>
  <w:style w:type="character" w:customStyle="1" w:styleId="65">
    <w:name w:val="未处理的提及"/>
    <w:autoRedefine/>
    <w:unhideWhenUsed/>
    <w:qFormat/>
    <w:uiPriority w:val="99"/>
    <w:rPr>
      <w:color w:val="808080"/>
      <w:shd w:val="clear" w:color="auto" w:fill="E6E6E6"/>
    </w:rPr>
  </w:style>
  <w:style w:type="character" w:customStyle="1" w:styleId="66">
    <w:name w:val="页眉 Char"/>
    <w:basedOn w:val="42"/>
    <w:link w:val="27"/>
    <w:autoRedefine/>
    <w:qFormat/>
    <w:uiPriority w:val="0"/>
    <w:rPr>
      <w:kern w:val="2"/>
      <w:sz w:val="18"/>
      <w:szCs w:val="18"/>
    </w:rPr>
  </w:style>
  <w:style w:type="paragraph" w:customStyle="1" w:styleId="67">
    <w:name w:val="2"/>
    <w:basedOn w:val="1"/>
    <w:autoRedefine/>
    <w:qFormat/>
    <w:uiPriority w:val="0"/>
    <w:pPr>
      <w:adjustRightInd w:val="0"/>
      <w:spacing w:line="420" w:lineRule="atLeast"/>
      <w:ind w:left="1134" w:hanging="227"/>
      <w:textAlignment w:val="baseline"/>
    </w:pPr>
    <w:rPr>
      <w:kern w:val="0"/>
      <w:szCs w:val="20"/>
    </w:rPr>
  </w:style>
  <w:style w:type="paragraph" w:customStyle="1" w:styleId="6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69">
    <w:name w:val="表格6"/>
    <w:basedOn w:val="70"/>
    <w:autoRedefine/>
    <w:qFormat/>
    <w:uiPriority w:val="0"/>
    <w:pPr>
      <w:ind w:left="737" w:firstLine="0"/>
    </w:pPr>
  </w:style>
  <w:style w:type="paragraph" w:customStyle="1" w:styleId="70">
    <w:name w:val="表格5"/>
    <w:basedOn w:val="68"/>
    <w:autoRedefine/>
    <w:qFormat/>
    <w:uiPriority w:val="0"/>
    <w:pPr>
      <w:ind w:left="1021" w:hanging="284"/>
    </w:pPr>
    <w:rPr>
      <w:rFonts w:ascii="宋体"/>
    </w:rPr>
  </w:style>
  <w:style w:type="paragraph" w:customStyle="1" w:styleId="71">
    <w:name w:val=" Char Char Char"/>
    <w:basedOn w:val="1"/>
    <w:autoRedefine/>
    <w:qFormat/>
    <w:uiPriority w:val="0"/>
    <w:rPr>
      <w:szCs w:val="20"/>
    </w:rPr>
  </w:style>
  <w:style w:type="paragraph" w:customStyle="1" w:styleId="72">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3">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74">
    <w:name w:val="表中"/>
    <w:basedOn w:val="1"/>
    <w:autoRedefine/>
    <w:qFormat/>
    <w:uiPriority w:val="0"/>
    <w:pPr>
      <w:adjustRightInd w:val="0"/>
      <w:spacing w:line="360" w:lineRule="atLeast"/>
      <w:jc w:val="center"/>
      <w:textAlignment w:val="baseline"/>
    </w:pPr>
    <w:rPr>
      <w:kern w:val="0"/>
      <w:szCs w:val="20"/>
    </w:rPr>
  </w:style>
  <w:style w:type="paragraph" w:customStyle="1" w:styleId="75">
    <w:name w:val="表格4"/>
    <w:basedOn w:val="1"/>
    <w:autoRedefine/>
    <w:qFormat/>
    <w:uiPriority w:val="0"/>
    <w:pPr>
      <w:adjustRightInd w:val="0"/>
      <w:spacing w:line="420" w:lineRule="atLeast"/>
      <w:ind w:left="1021"/>
      <w:textAlignment w:val="baseline"/>
    </w:pPr>
    <w:rPr>
      <w:kern w:val="0"/>
      <w:szCs w:val="20"/>
    </w:rPr>
  </w:style>
  <w:style w:type="paragraph" w:customStyle="1" w:styleId="7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7">
    <w:name w:val="1"/>
    <w:basedOn w:val="1"/>
    <w:next w:val="1"/>
    <w:autoRedefine/>
    <w:qFormat/>
    <w:uiPriority w:val="0"/>
  </w:style>
  <w:style w:type="paragraph" w:customStyle="1" w:styleId="78">
    <w:name w:val="表格文字"/>
    <w:basedOn w:val="1"/>
    <w:autoRedefine/>
    <w:qFormat/>
    <w:uiPriority w:val="0"/>
    <w:pPr>
      <w:adjustRightInd w:val="0"/>
      <w:spacing w:line="420" w:lineRule="atLeast"/>
      <w:jc w:val="left"/>
      <w:textAlignment w:val="baseline"/>
    </w:pPr>
    <w:rPr>
      <w:kern w:val="0"/>
      <w:szCs w:val="20"/>
    </w:rPr>
  </w:style>
  <w:style w:type="paragraph" w:customStyle="1" w:styleId="79">
    <w:name w:val="表格"/>
    <w:basedOn w:val="1"/>
    <w:autoRedefine/>
    <w:qFormat/>
    <w:uiPriority w:val="0"/>
    <w:pPr>
      <w:jc w:val="center"/>
      <w:textAlignment w:val="center"/>
    </w:pPr>
    <w:rPr>
      <w:rFonts w:ascii="华文细黑" w:hAnsi="华文细黑"/>
      <w:kern w:val="0"/>
      <w:szCs w:val="20"/>
    </w:rPr>
  </w:style>
  <w:style w:type="paragraph" w:customStyle="1" w:styleId="80">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81">
    <w:name w:val="表头"/>
    <w:basedOn w:val="80"/>
    <w:autoRedefine/>
    <w:qFormat/>
    <w:uiPriority w:val="0"/>
    <w:rPr>
      <w:rFonts w:ascii="黑体" w:eastAsia="黑体"/>
      <w:b/>
    </w:rPr>
  </w:style>
  <w:style w:type="paragraph" w:customStyle="1" w:styleId="82">
    <w:name w:val="表格1"/>
    <w:basedOn w:val="1"/>
    <w:autoRedefine/>
    <w:qFormat/>
    <w:uiPriority w:val="0"/>
    <w:pPr>
      <w:adjustRightInd w:val="0"/>
      <w:spacing w:line="420" w:lineRule="atLeast"/>
      <w:ind w:left="284"/>
      <w:textAlignment w:val="baseline"/>
    </w:pPr>
    <w:rPr>
      <w:kern w:val="0"/>
      <w:szCs w:val="20"/>
    </w:rPr>
  </w:style>
  <w:style w:type="paragraph" w:customStyle="1" w:styleId="83">
    <w:name w:val=" Char Char Char Char Char Char"/>
    <w:basedOn w:val="1"/>
    <w:autoRedefine/>
    <w:qFormat/>
    <w:uiPriority w:val="0"/>
  </w:style>
  <w:style w:type="paragraph" w:customStyle="1" w:styleId="84">
    <w:name w:val=" Char"/>
    <w:basedOn w:val="1"/>
    <w:autoRedefine/>
    <w:qFormat/>
    <w:uiPriority w:val="0"/>
  </w:style>
  <w:style w:type="paragraph" w:customStyle="1" w:styleId="85">
    <w:name w:val=" Char1"/>
    <w:basedOn w:val="1"/>
    <w:autoRedefine/>
    <w:qFormat/>
    <w:uiPriority w:val="0"/>
  </w:style>
  <w:style w:type="paragraph" w:customStyle="1" w:styleId="86">
    <w:name w:val="Char"/>
    <w:basedOn w:val="1"/>
    <w:autoRedefine/>
    <w:qFormat/>
    <w:uiPriority w:val="0"/>
  </w:style>
  <w:style w:type="paragraph" w:customStyle="1" w:styleId="87">
    <w:name w:val=" Char Char Char Char Char Char Char Char Char Char Char Char Char Char Char Char Char Char1 Char Char Char Char"/>
    <w:basedOn w:val="1"/>
    <w:autoRedefine/>
    <w:qFormat/>
    <w:uiPriority w:val="0"/>
  </w:style>
  <w:style w:type="paragraph" w:customStyle="1" w:styleId="88">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89">
    <w:name w:val="_Style 87"/>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90">
    <w:name w:val="Char Char Char"/>
    <w:basedOn w:val="1"/>
    <w:autoRedefine/>
    <w:qFormat/>
    <w:uiPriority w:val="0"/>
    <w:rPr>
      <w:szCs w:val="20"/>
    </w:rPr>
  </w:style>
  <w:style w:type="table" w:customStyle="1" w:styleId="91">
    <w:name w:val="Table Normal"/>
    <w:autoRedefine/>
    <w:semiHidden/>
    <w:unhideWhenUsed/>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2.wmf"/><Relationship Id="rId58" Type="http://schemas.openxmlformats.org/officeDocument/2006/relationships/oleObject" Target="embeddings/oleObject1.bin"/><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4.xml"/><Relationship Id="rId53" Type="http://schemas.openxmlformats.org/officeDocument/2006/relationships/header" Target="header23.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2.xml"/><Relationship Id="rId5" Type="http://schemas.openxmlformats.org/officeDocument/2006/relationships/header" Target="header2.xml"/><Relationship Id="rId49" Type="http://schemas.openxmlformats.org/officeDocument/2006/relationships/header" Target="header21.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20.xml"/><Relationship Id="rId44" Type="http://schemas.openxmlformats.org/officeDocument/2006/relationships/header" Target="header19.xml"/><Relationship Id="rId43" Type="http://schemas.openxmlformats.org/officeDocument/2006/relationships/footer" Target="footer22.xml"/><Relationship Id="rId42" Type="http://schemas.openxmlformats.org/officeDocument/2006/relationships/header" Target="header18.xml"/><Relationship Id="rId41" Type="http://schemas.openxmlformats.org/officeDocument/2006/relationships/footer" Target="footer21.xml"/><Relationship Id="rId40" Type="http://schemas.openxmlformats.org/officeDocument/2006/relationships/header" Target="header17.xml"/><Relationship Id="rId4" Type="http://schemas.openxmlformats.org/officeDocument/2006/relationships/header" Target="header1.xml"/><Relationship Id="rId39" Type="http://schemas.openxmlformats.org/officeDocument/2006/relationships/footer" Target="footer20.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251</Pages>
  <Words>3883</Words>
  <Characters>4362</Characters>
  <Lines>1513</Lines>
  <Paragraphs>426</Paragraphs>
  <TotalTime>11</TotalTime>
  <ScaleCrop>false</ScaleCrop>
  <LinksUpToDate>false</LinksUpToDate>
  <CharactersWithSpaces>4983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2016-09-27T05:48:00Z</dcterms:created>
  <dc:creator>袁静</dc:creator>
  <cp:lastModifiedBy>WPS_1669870228</cp:lastModifiedBy>
  <cp:lastPrinted>2024-05-31T02:56:00Z</cp:lastPrinted>
  <dcterms:modified xsi:type="dcterms:W3CDTF">2026-04-07T05:46:50Z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83ECE44E92934AF28C87405B728FCD4F_13</vt:lpwstr>
  </property>
  <property fmtid="{D5CDD505-2E9C-101B-9397-08002B2CF9AE}" pid="4" name="KSOTemplateDocerSaveRecord">
    <vt:lpwstr>eyJoZGlkIjoiZWJmM2QxZjQ4MjU3YmU1MDEzMzFiZDhiN2YxNmEzN2MiLCJ1c2VySWQiOiIxNDUzMTAyNTI3In0=</vt:lpwstr>
  </property>
</Properties>
</file>